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EF79" w14:textId="5F14AA98" w:rsidR="00333BDE" w:rsidRDefault="00333BDE">
      <w:pPr>
        <w:pStyle w:val="BodyText"/>
        <w:rPr>
          <w:rFonts w:ascii="Times New Roman"/>
          <w:sz w:val="20"/>
        </w:rPr>
      </w:pPr>
    </w:p>
    <w:p w14:paraId="6F3AE25A" w14:textId="77777777" w:rsidR="00333BDE" w:rsidRDefault="00333BDE">
      <w:pPr>
        <w:pStyle w:val="BodyText"/>
        <w:rPr>
          <w:rFonts w:ascii="Times New Roman"/>
          <w:sz w:val="20"/>
        </w:rPr>
      </w:pPr>
    </w:p>
    <w:p w14:paraId="410A7807" w14:textId="77777777" w:rsidR="00333BDE" w:rsidRDefault="00333BDE">
      <w:pPr>
        <w:pStyle w:val="BodyText"/>
        <w:rPr>
          <w:rFonts w:ascii="Times New Roman"/>
          <w:sz w:val="20"/>
        </w:rPr>
      </w:pPr>
    </w:p>
    <w:p w14:paraId="49AB7C95" w14:textId="77777777" w:rsidR="00333BDE" w:rsidRDefault="00333BDE">
      <w:pPr>
        <w:pStyle w:val="BodyText"/>
        <w:rPr>
          <w:rFonts w:ascii="Times New Roman"/>
          <w:sz w:val="21"/>
        </w:rPr>
      </w:pPr>
    </w:p>
    <w:p w14:paraId="52D74A60" w14:textId="508A275B" w:rsidR="00333BDE" w:rsidRDefault="00A7440D">
      <w:pPr>
        <w:spacing w:before="92"/>
        <w:ind w:right="115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540119" wp14:editId="417DC12E">
            <wp:simplePos x="0" y="0"/>
            <wp:positionH relativeFrom="page">
              <wp:posOffset>4972632</wp:posOffset>
            </wp:positionH>
            <wp:positionV relativeFrom="paragraph">
              <wp:posOffset>-589168</wp:posOffset>
            </wp:positionV>
            <wp:extent cx="732849" cy="722936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49" cy="72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4"/>
        </w:rPr>
        <w:t>Issued</w:t>
      </w:r>
      <w:r>
        <w:rPr>
          <w:sz w:val="24"/>
        </w:rPr>
        <w:t xml:space="preserve">: </w:t>
      </w:r>
      <w:r>
        <w:rPr>
          <w:spacing w:val="-2"/>
          <w:sz w:val="24"/>
        </w:rPr>
        <w:t>25Apr11</w:t>
      </w:r>
    </w:p>
    <w:p w14:paraId="284D3472" w14:textId="77777777" w:rsidR="00333BDE" w:rsidRDefault="00333BDE">
      <w:pPr>
        <w:pStyle w:val="BodyText"/>
        <w:rPr>
          <w:sz w:val="16"/>
        </w:rPr>
      </w:pPr>
    </w:p>
    <w:p w14:paraId="34E1BEA6" w14:textId="77777777" w:rsidR="00333BDE" w:rsidRDefault="00A7440D">
      <w:pPr>
        <w:pStyle w:val="Title"/>
        <w:spacing w:before="92"/>
        <w:ind w:right="1588"/>
      </w:pPr>
      <w:r>
        <w:t>Monetary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Incentives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Research </w:t>
      </w:r>
      <w:r>
        <w:rPr>
          <w:spacing w:val="-2"/>
        </w:rPr>
        <w:t>Context:</w:t>
      </w:r>
    </w:p>
    <w:p w14:paraId="535BB9D9" w14:textId="77777777" w:rsidR="00333BDE" w:rsidRDefault="00A7440D">
      <w:pPr>
        <w:pStyle w:val="Title"/>
      </w:pPr>
      <w:r>
        <w:t>Definitions and IRB</w:t>
      </w:r>
      <w:r>
        <w:rPr>
          <w:spacing w:val="-2"/>
        </w:rPr>
        <w:t xml:space="preserve"> Guidance</w:t>
      </w:r>
    </w:p>
    <w:p w14:paraId="00F5A7FB" w14:textId="77777777" w:rsidR="00333BDE" w:rsidRDefault="00333BDE">
      <w:pPr>
        <w:pStyle w:val="BodyText"/>
        <w:rPr>
          <w:b/>
          <w:sz w:val="26"/>
        </w:rPr>
      </w:pPr>
    </w:p>
    <w:p w14:paraId="6B39FC1B" w14:textId="77777777" w:rsidR="00333BDE" w:rsidRDefault="00333BDE">
      <w:pPr>
        <w:pStyle w:val="BodyText"/>
        <w:rPr>
          <w:b/>
          <w:sz w:val="22"/>
        </w:rPr>
      </w:pPr>
    </w:p>
    <w:p w14:paraId="2A89934B" w14:textId="77777777" w:rsidR="00333BDE" w:rsidRDefault="00A7440D">
      <w:pPr>
        <w:pStyle w:val="BodyText"/>
        <w:ind w:left="100"/>
      </w:pPr>
      <w:r>
        <w:t>“Compensation” means actual payment for someone’s time and effort – usually associated with a job.</w:t>
      </w:r>
      <w:r>
        <w:rPr>
          <w:spacing w:val="40"/>
        </w:rPr>
        <w:t xml:space="preserve"> </w:t>
      </w:r>
      <w:r>
        <w:t xml:space="preserve">It suggests putting a market value on that </w:t>
      </w:r>
      <w:r>
        <w:t>time and effort, so is potentially</w:t>
      </w:r>
      <w:r>
        <w:rPr>
          <w:spacing w:val="-1"/>
        </w:rPr>
        <w:t xml:space="preserve"> </w:t>
      </w:r>
      <w:r>
        <w:t>comparable to a local wage scale.</w:t>
      </w:r>
      <w:r>
        <w:rPr>
          <w:spacing w:val="40"/>
        </w:rPr>
        <w:t xml:space="preserve"> </w:t>
      </w:r>
      <w:r>
        <w:t>“Compensation” in the U.S.</w:t>
      </w:r>
      <w:r>
        <w:rPr>
          <w:spacing w:val="40"/>
        </w:rPr>
        <w:t xml:space="preserve"> </w:t>
      </w:r>
      <w:r>
        <w:t>is taxable as income.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“compensation” because there is no way to put a value on each individual’s c</w:t>
      </w:r>
      <w:r>
        <w:t xml:space="preserve">ontribution of time to the </w:t>
      </w:r>
      <w:r>
        <w:rPr>
          <w:spacing w:val="-2"/>
        </w:rPr>
        <w:t>study.</w:t>
      </w:r>
    </w:p>
    <w:p w14:paraId="7AE47072" w14:textId="77777777" w:rsidR="00333BDE" w:rsidRDefault="00333BDE">
      <w:pPr>
        <w:pStyle w:val="BodyText"/>
        <w:spacing w:before="10"/>
        <w:rPr>
          <w:sz w:val="23"/>
        </w:rPr>
      </w:pPr>
    </w:p>
    <w:p w14:paraId="28BABB34" w14:textId="77777777" w:rsidR="00333BDE" w:rsidRDefault="00A7440D">
      <w:pPr>
        <w:pStyle w:val="BodyText"/>
        <w:ind w:left="100" w:right="122"/>
      </w:pPr>
      <w:r>
        <w:t>“Reimbursement” means repayment of costs incurred by the participant in order to 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and are not “income.”</w:t>
      </w:r>
      <w:r>
        <w:rPr>
          <w:spacing w:val="40"/>
        </w:rPr>
        <w:t xml:space="preserve"> </w:t>
      </w:r>
      <w:r>
        <w:t xml:space="preserve">Investigators should </w:t>
      </w:r>
      <w:r>
        <w:t>explain to participants if the study will cover travel, parking, or other expenses.</w:t>
      </w:r>
    </w:p>
    <w:p w14:paraId="1EAC820D" w14:textId="77777777" w:rsidR="00333BDE" w:rsidRDefault="00333BDE">
      <w:pPr>
        <w:pStyle w:val="BodyText"/>
      </w:pPr>
    </w:p>
    <w:p w14:paraId="5B05DD20" w14:textId="77777777" w:rsidR="00333BDE" w:rsidRDefault="00A7440D">
      <w:pPr>
        <w:pStyle w:val="BodyText"/>
        <w:ind w:left="100" w:right="166"/>
      </w:pPr>
      <w:r>
        <w:t>“Payment” or “remuneration” given to subjects in a research study generally refers to</w:t>
      </w:r>
      <w:r>
        <w:rPr>
          <w:spacing w:val="40"/>
        </w:rPr>
        <w:t xml:space="preserve"> </w:t>
      </w:r>
      <w:r>
        <w:t>the incentive offered in appreciation of the participant’s contribution to the projec</w:t>
      </w:r>
      <w:r>
        <w:t>t.</w:t>
      </w:r>
      <w:r>
        <w:rPr>
          <w:spacing w:val="40"/>
        </w:rPr>
        <w:t xml:space="preserve"> </w:t>
      </w:r>
      <w:r>
        <w:t>It is not measured by the actual value of each person’s time; it is consistent across all participants.</w:t>
      </w:r>
      <w:r>
        <w:rPr>
          <w:spacing w:val="40"/>
        </w:rPr>
        <w:t xml:space="preserve"> </w:t>
      </w:r>
      <w:r>
        <w:t>This amount must be reasonable in the context of the proposed study procedures.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IRB’s</w:t>
      </w:r>
      <w:r>
        <w:rPr>
          <w:spacing w:val="-5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amou</w:t>
      </w:r>
      <w:r>
        <w:t>nt</w:t>
      </w:r>
      <w:r>
        <w:rPr>
          <w:spacing w:val="-2"/>
        </w:rPr>
        <w:t xml:space="preserve"> </w:t>
      </w:r>
      <w:r>
        <w:t>large enough to</w:t>
      </w:r>
      <w:r>
        <w:rPr>
          <w:spacing w:val="-1"/>
        </w:rPr>
        <w:t xml:space="preserve"> </w:t>
      </w:r>
      <w:r>
        <w:t>attract</w:t>
      </w:r>
      <w:r>
        <w:rPr>
          <w:spacing w:val="-1"/>
        </w:rPr>
        <w:t xml:space="preserve"> </w:t>
      </w:r>
      <w:r>
        <w:t>participants,</w:t>
      </w:r>
      <w:r>
        <w:rPr>
          <w:spacing w:val="-1"/>
        </w:rPr>
        <w:t xml:space="preserve"> </w:t>
      </w:r>
      <w:r>
        <w:t>but not so</w:t>
      </w:r>
      <w:r>
        <w:rPr>
          <w:spacing w:val="-1"/>
        </w:rPr>
        <w:t xml:space="preserve"> </w:t>
      </w:r>
      <w:r>
        <w:t>large as to constitute undue</w:t>
      </w:r>
      <w:r>
        <w:rPr>
          <w:spacing w:val="-1"/>
        </w:rPr>
        <w:t xml:space="preserve"> </w:t>
      </w:r>
      <w:r>
        <w:t>inducement – that is, to lead prospective participants to undertake risk they would not otherwise</w:t>
      </w:r>
      <w:r>
        <w:rPr>
          <w:spacing w:val="40"/>
        </w:rPr>
        <w:t xml:space="preserve"> </w:t>
      </w:r>
      <w:r>
        <w:t>undertake.</w:t>
      </w:r>
      <w:r>
        <w:rPr>
          <w:spacing w:val="40"/>
        </w:rPr>
        <w:t xml:space="preserve"> </w:t>
      </w:r>
      <w:r>
        <w:t xml:space="preserve">The “payment or remuneration” may be monetary or in the form of a </w:t>
      </w:r>
      <w:r>
        <w:t>gift.</w:t>
      </w:r>
    </w:p>
    <w:p w14:paraId="0B00FB81" w14:textId="77777777" w:rsidR="00333BDE" w:rsidRDefault="00A7440D">
      <w:pPr>
        <w:pStyle w:val="BodyText"/>
        <w:spacing w:before="1"/>
        <w:ind w:left="100" w:right="242"/>
      </w:pPr>
      <w:r>
        <w:t>In</w:t>
      </w:r>
      <w:r>
        <w:rPr>
          <w:spacing w:val="-2"/>
        </w:rPr>
        <w:t xml:space="preserve"> </w:t>
      </w:r>
      <w:r>
        <w:t>low-resource</w:t>
      </w:r>
      <w:r>
        <w:rPr>
          <w:spacing w:val="-2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U.S.,</w:t>
      </w:r>
      <w:r>
        <w:rPr>
          <w:spacing w:val="-3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monetary,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may take the form of food, soap, or other household items.</w:t>
      </w:r>
    </w:p>
    <w:p w14:paraId="3FBD4666" w14:textId="77777777" w:rsidR="00333BDE" w:rsidRDefault="00333BDE">
      <w:pPr>
        <w:pStyle w:val="BodyText"/>
      </w:pPr>
    </w:p>
    <w:p w14:paraId="5B429C48" w14:textId="77777777" w:rsidR="00333BDE" w:rsidRDefault="00A7440D">
      <w:pPr>
        <w:pStyle w:val="BodyText"/>
        <w:ind w:left="100" w:right="122"/>
      </w:pPr>
      <w:r>
        <w:t>“Bonus” payments to study staff for recruiting:</w:t>
      </w:r>
      <w:r>
        <w:rPr>
          <w:spacing w:val="40"/>
        </w:rPr>
        <w:t xml:space="preserve"> </w:t>
      </w:r>
      <w:r>
        <w:t xml:space="preserve">the IRB prohibits extra payments for recruiting members of a </w:t>
      </w:r>
      <w:r>
        <w:t>cohort for a clinical trial because it incentivizes the recruiters to exercise greater efforts to get those people in.</w:t>
      </w:r>
      <w:r>
        <w:rPr>
          <w:spacing w:val="40"/>
        </w:rPr>
        <w:t xml:space="preserve"> </w:t>
      </w:r>
      <w:r>
        <w:t>They might overlook a few eligibility criteria or take advantage of the “therapeutic misconception” or use other power disparities to get</w:t>
      </w:r>
      <w:r>
        <w:t xml:space="preserve"> people to agree to join the study.</w:t>
      </w:r>
      <w:r>
        <w:rPr>
          <w:spacing w:val="40"/>
        </w:rPr>
        <w:t xml:space="preserve"> </w:t>
      </w:r>
      <w:r>
        <w:t>“Per participant” costs are common, because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overhead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for each participant.</w:t>
      </w:r>
    </w:p>
    <w:p w14:paraId="25725F35" w14:textId="77777777" w:rsidR="00333BDE" w:rsidRDefault="00333BDE">
      <w:pPr>
        <w:pStyle w:val="BodyText"/>
        <w:rPr>
          <w:sz w:val="20"/>
        </w:rPr>
      </w:pPr>
    </w:p>
    <w:p w14:paraId="2FBB410F" w14:textId="77777777" w:rsidR="00333BDE" w:rsidRDefault="00333BDE">
      <w:pPr>
        <w:pStyle w:val="BodyText"/>
        <w:rPr>
          <w:sz w:val="20"/>
        </w:rPr>
      </w:pPr>
    </w:p>
    <w:p w14:paraId="3DBB96E5" w14:textId="77777777" w:rsidR="00333BDE" w:rsidRDefault="00333BDE">
      <w:pPr>
        <w:pStyle w:val="BodyText"/>
        <w:rPr>
          <w:sz w:val="20"/>
        </w:rPr>
      </w:pPr>
    </w:p>
    <w:p w14:paraId="60989CBE" w14:textId="77777777" w:rsidR="00333BDE" w:rsidRDefault="00333BDE">
      <w:pPr>
        <w:pStyle w:val="BodyText"/>
        <w:rPr>
          <w:sz w:val="20"/>
        </w:rPr>
      </w:pPr>
    </w:p>
    <w:p w14:paraId="59C1FEC9" w14:textId="77777777" w:rsidR="00333BDE" w:rsidRDefault="00333BDE">
      <w:pPr>
        <w:pStyle w:val="BodyText"/>
        <w:rPr>
          <w:sz w:val="20"/>
        </w:rPr>
      </w:pPr>
    </w:p>
    <w:p w14:paraId="02585617" w14:textId="77777777" w:rsidR="00333BDE" w:rsidRDefault="00333BDE">
      <w:pPr>
        <w:pStyle w:val="BodyText"/>
        <w:rPr>
          <w:sz w:val="20"/>
        </w:rPr>
      </w:pPr>
    </w:p>
    <w:p w14:paraId="11EB6781" w14:textId="77777777" w:rsidR="00333BDE" w:rsidRDefault="00333BDE">
      <w:pPr>
        <w:pStyle w:val="BodyText"/>
        <w:rPr>
          <w:sz w:val="20"/>
        </w:rPr>
      </w:pPr>
    </w:p>
    <w:p w14:paraId="0EEE8DB8" w14:textId="77777777" w:rsidR="00333BDE" w:rsidRDefault="00333BDE">
      <w:pPr>
        <w:pStyle w:val="BodyText"/>
        <w:rPr>
          <w:sz w:val="20"/>
        </w:rPr>
      </w:pPr>
    </w:p>
    <w:p w14:paraId="70BF8BC1" w14:textId="77777777" w:rsidR="00333BDE" w:rsidRDefault="00333BDE">
      <w:pPr>
        <w:pStyle w:val="BodyText"/>
        <w:rPr>
          <w:sz w:val="20"/>
        </w:rPr>
      </w:pPr>
    </w:p>
    <w:p w14:paraId="7F6168FD" w14:textId="77777777" w:rsidR="00333BDE" w:rsidRDefault="00333BDE">
      <w:pPr>
        <w:pStyle w:val="BodyText"/>
        <w:rPr>
          <w:sz w:val="20"/>
        </w:rPr>
      </w:pPr>
    </w:p>
    <w:p w14:paraId="5705B81B" w14:textId="77777777" w:rsidR="00333BDE" w:rsidRDefault="00333BDE">
      <w:pPr>
        <w:pStyle w:val="BodyText"/>
        <w:rPr>
          <w:sz w:val="20"/>
        </w:rPr>
      </w:pPr>
    </w:p>
    <w:p w14:paraId="1174C9F0" w14:textId="77777777" w:rsidR="00333BDE" w:rsidRDefault="00333BDE">
      <w:pPr>
        <w:pStyle w:val="BodyText"/>
        <w:rPr>
          <w:sz w:val="20"/>
        </w:rPr>
      </w:pPr>
    </w:p>
    <w:p w14:paraId="4873C5C4" w14:textId="77777777" w:rsidR="00333BDE" w:rsidRDefault="00333BDE">
      <w:pPr>
        <w:pStyle w:val="BodyText"/>
        <w:spacing w:before="4"/>
      </w:pPr>
    </w:p>
    <w:p w14:paraId="1C76D848" w14:textId="77777777" w:rsidR="00333BDE" w:rsidRDefault="00A7440D">
      <w:pPr>
        <w:spacing w:before="93"/>
        <w:ind w:left="100"/>
        <w:rPr>
          <w:rFonts w:ascii="Times New Roman"/>
          <w:i/>
          <w:sz w:val="18"/>
        </w:rPr>
      </w:pPr>
      <w:r>
        <w:rPr>
          <w:rFonts w:ascii="Times New Roman"/>
          <w:i/>
          <w:spacing w:val="-2"/>
          <w:sz w:val="18"/>
        </w:rPr>
        <w:t>25Apr2011</w:t>
      </w:r>
    </w:p>
    <w:sectPr w:rsidR="00333BDE">
      <w:type w:val="continuous"/>
      <w:pgSz w:w="12240" w:h="15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DE"/>
    <w:rsid w:val="00333BDE"/>
    <w:rsid w:val="003E27B8"/>
    <w:rsid w:val="00A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BD69"/>
  <w15:docId w15:val="{56D2EB34-D647-4FB9-AF52-90704C2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72" w:right="158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A181B-213D-479A-92D0-7A94B58EB0AE}">
  <ds:schemaRefs>
    <ds:schemaRef ds:uri="http://purl.org/dc/dcmitype/"/>
    <ds:schemaRef ds:uri="2c684285-b16b-4508-a322-45ba4b5411c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9F7019-37B3-4A7C-A38A-8F0AF17A7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5B83-B41B-46AF-A012-08F150CB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mmerritt</dc:creator>
  <cp:lastModifiedBy>Owens, Shannon</cp:lastModifiedBy>
  <cp:revision>2</cp:revision>
  <dcterms:created xsi:type="dcterms:W3CDTF">2023-08-23T17:40:00Z</dcterms:created>
  <dcterms:modified xsi:type="dcterms:W3CDTF">2023-08-23T17:40:00Z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Office Word 2007</vt:lpwstr>
  </property>
  <property fmtid="{D5CDD505-2E9C-101B-9397-08002B2CF9AE}" pid="6" name="ContentTypeId">
    <vt:lpwstr>0x0101008C2F0FF046B24E41A81B7F7A94A0613A</vt:lpwstr>
  </property>
</Properties>
</file>