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F160" w14:textId="7A56F2F3" w:rsidR="00526F03" w:rsidRDefault="00C52D36" w:rsidP="00C52D36">
      <w:pPr>
        <w:pStyle w:val="Heading2"/>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rsidRPr="00C52D3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INSTRUCTIONAL TEMPLATE: BSPH IRB Research Plan for New Data Collection</w:t>
      </w:r>
    </w:p>
    <w:p w14:paraId="1E49C99B" w14:textId="020DBC81" w:rsidR="00C52D36" w:rsidRDefault="00C52D36" w:rsidP="00C52D36">
      <w:pPr>
        <w:spacing w:after="0"/>
        <w:ind w:left="4320" w:firstLine="720"/>
        <w:rPr>
          <w:rFonts w:ascii="Arial" w:hAnsi="Arial" w:cs="Arial"/>
          <w:bCs/>
          <w:i/>
          <w:iCs/>
          <w:sz w:val="18"/>
          <w:szCs w:val="18"/>
        </w:rPr>
      </w:pPr>
      <w:r>
        <w:rPr>
          <w:rFonts w:ascii="Arial" w:hAnsi="Arial" w:cs="Arial"/>
          <w:bCs/>
          <w:i/>
          <w:iCs/>
          <w:sz w:val="18"/>
          <w:szCs w:val="18"/>
        </w:rPr>
        <w:t>24Aug2021</w:t>
      </w:r>
    </w:p>
    <w:p w14:paraId="3BB51CF4" w14:textId="77777777" w:rsidR="00C52D36" w:rsidRDefault="00C52D36" w:rsidP="00C52D36">
      <w:pPr>
        <w:spacing w:after="0"/>
        <w:ind w:left="4320" w:firstLine="720"/>
        <w:rPr>
          <w:rFonts w:ascii="Arial" w:hAnsi="Arial" w:cs="Arial"/>
          <w:bCs/>
          <w:i/>
          <w:iCs/>
          <w:sz w:val="18"/>
          <w:szCs w:val="18"/>
        </w:rPr>
      </w:pPr>
    </w:p>
    <w:p w14:paraId="4AB0F53F" w14:textId="77777777" w:rsidR="00C52D36" w:rsidRPr="00C52D36" w:rsidRDefault="00C52D36" w:rsidP="00C52D36">
      <w:pPr>
        <w:spacing w:after="0"/>
        <w:ind w:left="4320" w:firstLine="720"/>
        <w:rPr>
          <w:rFonts w:ascii="Arial" w:hAnsi="Arial" w:cs="Arial"/>
          <w:bCs/>
          <w:i/>
          <w:iCs/>
          <w:sz w:val="18"/>
          <w:szCs w:val="18"/>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77777777" w:rsidR="00507439" w:rsidRPr="00270B72" w:rsidRDefault="00507439" w:rsidP="00507439">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tc>
      </w:tr>
    </w:tbl>
    <w:p w14:paraId="01790B5C" w14:textId="77777777" w:rsidR="00507439" w:rsidRDefault="00507439" w:rsidP="00C52D36">
      <w:pPr>
        <w:spacing w:after="0"/>
        <w:rPr>
          <w:rFonts w:ascii="Arial" w:hAnsi="Arial" w:cs="Arial"/>
          <w:b/>
        </w:rPr>
      </w:pPr>
    </w:p>
    <w:p w14:paraId="2AFA80DB" w14:textId="18F8462A" w:rsidR="00651CEB" w:rsidRPr="00651CEB" w:rsidRDefault="00651CEB" w:rsidP="00507439">
      <w:pPr>
        <w:pBdr>
          <w:top w:val="double" w:sz="4" w:space="0" w:color="auto"/>
          <w:left w:val="double" w:sz="4" w:space="4" w:color="auto"/>
          <w:bottom w:val="double" w:sz="4" w:space="1" w:color="auto"/>
          <w:right w:val="double" w:sz="4" w:space="4" w:color="auto"/>
        </w:pBdr>
        <w:ind w:left="90"/>
        <w:rPr>
          <w:rFonts w:ascii="Arial" w:hAnsi="Arial" w:cs="Arial"/>
          <w:b/>
        </w:rPr>
      </w:pPr>
      <w:r w:rsidRPr="00651CEB">
        <w:rPr>
          <w:rFonts w:ascii="Arial" w:hAnsi="Arial" w:cs="Arial"/>
          <w:b/>
        </w:rPr>
        <w:t xml:space="preserve">This research plan is for projects that will </w:t>
      </w:r>
      <w:r w:rsidRPr="00651CEB">
        <w:rPr>
          <w:rFonts w:ascii="Arial" w:hAnsi="Arial" w:cs="Arial"/>
          <w:b/>
          <w:u w:val="single"/>
        </w:rPr>
        <w:t>collect new data</w:t>
      </w:r>
      <w:r>
        <w:rPr>
          <w:rFonts w:ascii="Arial" w:hAnsi="Arial" w:cs="Arial"/>
          <w:b/>
        </w:rPr>
        <w:t>, and may</w:t>
      </w:r>
      <w:r w:rsidRPr="00651CEB">
        <w:rPr>
          <w:rFonts w:ascii="Arial" w:hAnsi="Arial" w:cs="Arial"/>
          <w:b/>
        </w:rPr>
        <w:t xml:space="preserve"> </w:t>
      </w:r>
      <w:r w:rsidRPr="00651CEB">
        <w:rPr>
          <w:rFonts w:ascii="Arial" w:hAnsi="Arial" w:cs="Arial"/>
          <w:b/>
          <w:u w:val="single"/>
        </w:rPr>
        <w:t>also</w:t>
      </w:r>
      <w:r w:rsidRPr="00651CEB">
        <w:rPr>
          <w:rFonts w:ascii="Arial" w:hAnsi="Arial" w:cs="Arial"/>
          <w:b/>
        </w:rPr>
        <w:t xml:space="preserve"> utilize existing data or specimens. </w:t>
      </w:r>
      <w:r w:rsidR="006F2BB6">
        <w:rPr>
          <w:rFonts w:ascii="Arial" w:hAnsi="Arial" w:cs="Arial"/>
          <w:b/>
        </w:rPr>
        <w:t>Please review the guidance we provide in the boxes to help you write your research plan.</w:t>
      </w:r>
      <w:r w:rsidRPr="00651CEB">
        <w:rPr>
          <w:rFonts w:ascii="Arial" w:hAnsi="Arial" w:cs="Arial"/>
          <w:b/>
        </w:rPr>
        <w:t xml:space="preserve"> </w:t>
      </w:r>
      <w:r>
        <w:rPr>
          <w:rFonts w:ascii="Arial" w:hAnsi="Arial" w:cs="Arial"/>
          <w:b/>
        </w:rPr>
        <w:t xml:space="preserve">Provide </w:t>
      </w:r>
      <w:r w:rsidRPr="00651CEB">
        <w:rPr>
          <w:rFonts w:ascii="Arial" w:hAnsi="Arial" w:cs="Arial"/>
          <w:b/>
        </w:rPr>
        <w:t xml:space="preserve">the IRB with your research objectives, scientific rationale behind those objectives, and the scientific methods for achieving those objectives in accordance with regulatory and institutional requirements.  </w:t>
      </w:r>
      <w:r>
        <w:rPr>
          <w:rFonts w:ascii="Arial" w:hAnsi="Arial" w:cs="Arial"/>
          <w:b/>
        </w:rPr>
        <w:t>In particular, provide</w:t>
      </w:r>
      <w:r w:rsidRPr="00651CEB">
        <w:rPr>
          <w:rFonts w:ascii="Arial" w:hAnsi="Arial" w:cs="Arial"/>
          <w:b/>
        </w:rPr>
        <w:t xml:space="preserve"> specific details about how human participants will be involved in the research activity so that the IRB understands each interaction as a link in a chain from recruitment through follow up (if applicable) without any missing links. </w:t>
      </w:r>
      <w:r>
        <w:rPr>
          <w:rFonts w:ascii="Arial" w:hAnsi="Arial" w:cs="Arial"/>
          <w:b/>
        </w:rPr>
        <w:t xml:space="preserve">Explain how participants </w:t>
      </w:r>
      <w:r w:rsidRPr="00651CEB">
        <w:rPr>
          <w:rFonts w:ascii="Arial" w:hAnsi="Arial" w:cs="Arial"/>
          <w:b/>
        </w:rPr>
        <w:t>will be identified and informed about the study (recruitment); who will obtain informed consent, and how, when, and where that process will occur over time</w:t>
      </w:r>
      <w:r>
        <w:rPr>
          <w:rFonts w:ascii="Arial" w:hAnsi="Arial" w:cs="Arial"/>
          <w:b/>
        </w:rPr>
        <w:t>.  Include references to</w:t>
      </w:r>
      <w:r w:rsidRPr="00651CEB">
        <w:rPr>
          <w:rFonts w:ascii="Arial" w:hAnsi="Arial" w:cs="Arial"/>
          <w:b/>
        </w:rPr>
        <w:t xml:space="preserve"> documentation, including consent forms, assent scripts, oral scripts, telephone scripts, letters, etc. </w:t>
      </w:r>
      <w:r>
        <w:rPr>
          <w:rFonts w:ascii="Arial" w:hAnsi="Arial" w:cs="Arial"/>
          <w:b/>
        </w:rPr>
        <w:t xml:space="preserve">that </w:t>
      </w:r>
      <w:r w:rsidRPr="00651CEB">
        <w:rPr>
          <w:rFonts w:ascii="Arial" w:hAnsi="Arial" w:cs="Arial"/>
          <w:b/>
        </w:rPr>
        <w:t>will be used to communicate with participants</w:t>
      </w:r>
      <w:r>
        <w:rPr>
          <w:rFonts w:ascii="Arial" w:hAnsi="Arial" w:cs="Arial"/>
          <w:b/>
        </w:rPr>
        <w:t xml:space="preserve">.  Explain the </w:t>
      </w:r>
      <w:r w:rsidRPr="00651CEB">
        <w:rPr>
          <w:rFonts w:ascii="Arial" w:hAnsi="Arial" w:cs="Arial"/>
          <w:b/>
        </w:rPr>
        <w:t xml:space="preserve">specific </w:t>
      </w:r>
      <w:r>
        <w:rPr>
          <w:rFonts w:ascii="Arial" w:hAnsi="Arial" w:cs="Arial"/>
          <w:b/>
        </w:rPr>
        <w:t xml:space="preserve">study </w:t>
      </w:r>
      <w:r w:rsidRPr="00651CEB">
        <w:rPr>
          <w:rFonts w:ascii="Arial" w:hAnsi="Arial" w:cs="Arial"/>
          <w:b/>
        </w:rPr>
        <w:t>procedures</w:t>
      </w:r>
      <w:r>
        <w:rPr>
          <w:rFonts w:ascii="Arial" w:hAnsi="Arial" w:cs="Arial"/>
          <w:b/>
        </w:rPr>
        <w:t>,</w:t>
      </w:r>
      <w:r w:rsidRPr="00651CEB">
        <w:rPr>
          <w:rFonts w:ascii="Arial" w:hAnsi="Arial" w:cs="Arial"/>
          <w:b/>
        </w:rPr>
        <w:t xml:space="preserve"> including </w:t>
      </w:r>
      <w:r>
        <w:rPr>
          <w:rFonts w:ascii="Arial" w:hAnsi="Arial" w:cs="Arial"/>
          <w:b/>
        </w:rPr>
        <w:t xml:space="preserve">by whom, </w:t>
      </w:r>
      <w:r w:rsidRPr="00651CEB">
        <w:rPr>
          <w:rFonts w:ascii="Arial" w:hAnsi="Arial" w:cs="Arial"/>
          <w:b/>
        </w:rPr>
        <w:t xml:space="preserve">when, where, and so on.  </w:t>
      </w:r>
      <w:r>
        <w:rPr>
          <w:rFonts w:ascii="Arial" w:hAnsi="Arial" w:cs="Arial"/>
          <w:b/>
        </w:rPr>
        <w:t>Address</w:t>
      </w:r>
      <w:r w:rsidRPr="00651CEB">
        <w:rPr>
          <w:rFonts w:ascii="Arial" w:hAnsi="Arial" w:cs="Arial"/>
          <w:b/>
        </w:rPr>
        <w:t xml:space="preserve"> the protections that the PI will put into place to ensure the safety and welfare of the study participants, including those who are vulnerable and need added protections.  </w:t>
      </w:r>
      <w:r>
        <w:rPr>
          <w:rFonts w:ascii="Arial" w:hAnsi="Arial" w:cs="Arial"/>
          <w:b/>
        </w:rPr>
        <w:t>Clarify t</w:t>
      </w:r>
      <w:r w:rsidRPr="00651CEB">
        <w:rPr>
          <w:rFonts w:ascii="Arial" w:hAnsi="Arial" w:cs="Arial"/>
          <w:b/>
        </w:rPr>
        <w:t xml:space="preserve">he role of the JHSPH investigators and their </w:t>
      </w:r>
      <w:proofErr w:type="gramStart"/>
      <w:r w:rsidRPr="00651CEB">
        <w:rPr>
          <w:rFonts w:ascii="Arial" w:hAnsi="Arial" w:cs="Arial"/>
          <w:b/>
        </w:rPr>
        <w:t>collaborators, and</w:t>
      </w:r>
      <w:proofErr w:type="gramEnd"/>
      <w:r w:rsidRPr="00651CEB">
        <w:rPr>
          <w:rFonts w:ascii="Arial" w:hAnsi="Arial" w:cs="Arial"/>
          <w:b/>
        </w:rPr>
        <w:t xml:space="preserve"> </w:t>
      </w:r>
      <w:r>
        <w:rPr>
          <w:rFonts w:ascii="Arial" w:hAnsi="Arial" w:cs="Arial"/>
          <w:b/>
        </w:rPr>
        <w:t xml:space="preserve">confirm that </w:t>
      </w:r>
      <w:r w:rsidRPr="00651CEB">
        <w:rPr>
          <w:rFonts w:ascii="Arial" w:hAnsi="Arial" w:cs="Arial"/>
          <w:b/>
        </w:rPr>
        <w:t xml:space="preserve">each person who will obtain informed consent or collect data from participants </w:t>
      </w:r>
      <w:r>
        <w:rPr>
          <w:rFonts w:ascii="Arial" w:hAnsi="Arial" w:cs="Arial"/>
          <w:b/>
        </w:rPr>
        <w:t>will</w:t>
      </w:r>
      <w:r w:rsidRPr="00651CEB">
        <w:rPr>
          <w:rFonts w:ascii="Arial" w:hAnsi="Arial" w:cs="Arial"/>
          <w:b/>
        </w:rPr>
        <w:t xml:space="preserve"> be trained in human subjects research ethics.  The responsibility of the PI continues throughout the course of the study from development through implementation and manuscript writing; </w:t>
      </w:r>
      <w:r>
        <w:rPr>
          <w:rFonts w:ascii="Arial" w:hAnsi="Arial" w:cs="Arial"/>
          <w:b/>
        </w:rPr>
        <w:t xml:space="preserve">provide the requested </w:t>
      </w:r>
      <w:r w:rsidRPr="00651CEB">
        <w:rPr>
          <w:rFonts w:ascii="Arial" w:hAnsi="Arial" w:cs="Arial"/>
          <w:b/>
        </w:rPr>
        <w:t>details about</w:t>
      </w:r>
      <w:r>
        <w:rPr>
          <w:rFonts w:ascii="Arial" w:hAnsi="Arial" w:cs="Arial"/>
          <w:b/>
        </w:rPr>
        <w:t xml:space="preserve"> study</w:t>
      </w:r>
      <w:r w:rsidRPr="00651CEB">
        <w:rPr>
          <w:rFonts w:ascii="Arial" w:hAnsi="Arial" w:cs="Arial"/>
          <w:b/>
        </w:rPr>
        <w:t xml:space="preserve"> oversight and management, </w:t>
      </w:r>
      <w:r>
        <w:rPr>
          <w:rFonts w:ascii="Arial" w:hAnsi="Arial" w:cs="Arial"/>
          <w:b/>
        </w:rPr>
        <w:t>including</w:t>
      </w:r>
      <w:r w:rsidRPr="00651CEB">
        <w:rPr>
          <w:rFonts w:ascii="Arial" w:hAnsi="Arial" w:cs="Arial"/>
          <w:b/>
        </w:rPr>
        <w:t xml:space="preserve"> data </w:t>
      </w:r>
      <w:r>
        <w:rPr>
          <w:rFonts w:ascii="Arial" w:hAnsi="Arial" w:cs="Arial"/>
          <w:b/>
        </w:rPr>
        <w:t xml:space="preserve">sharing and </w:t>
      </w:r>
      <w:r w:rsidRPr="00651CEB">
        <w:rPr>
          <w:rFonts w:ascii="Arial" w:hAnsi="Arial" w:cs="Arial"/>
          <w:b/>
        </w:rPr>
        <w:t>security</w:t>
      </w:r>
      <w:r>
        <w:rPr>
          <w:rFonts w:ascii="Arial" w:hAnsi="Arial" w:cs="Arial"/>
          <w:b/>
        </w:rPr>
        <w:t xml:space="preserve"> through the life of the data.</w:t>
      </w:r>
      <w:r w:rsidRPr="00651CEB">
        <w:rPr>
          <w:rFonts w:ascii="Arial" w:hAnsi="Arial" w:cs="Arial"/>
          <w:b/>
        </w:rPr>
        <w:t xml:space="preserve"> </w:t>
      </w:r>
    </w:p>
    <w:p w14:paraId="394A1689" w14:textId="77777777" w:rsidR="007A2480" w:rsidRPr="00270B72" w:rsidRDefault="007A2480" w:rsidP="00EE2377">
      <w:pPr>
        <w:spacing w:before="120" w:after="0"/>
        <w:rPr>
          <w:rFonts w:ascii="Arial" w:hAnsi="Arial" w:cs="Arial"/>
          <w:b/>
          <w:color w:val="000000" w:themeColor="text1"/>
        </w:rPr>
      </w:pP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 xml:space="preserve">Each aim/objective described in this section should be related to the background/rationale behind the study, and to the design, study population, and study procedures that will produce the data that will address each aim/objective.  </w:t>
      </w:r>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  Summarize briefly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  If this section is weak, the IRB may not be able to permit involvement of human participants, exposing them to risk or inconvenience, without the prospect of yielding useful scientific information. This is not a grant application – be concise.  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  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lastRenderedPageBreak/>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  The study design must relate to your stated aims/objectives.</w:t>
      </w:r>
      <w:r w:rsidR="00A0516A" w:rsidRPr="00775854">
        <w:rPr>
          <w:rFonts w:ascii="Arial" w:hAnsi="Arial" w:cs="Arial"/>
          <w:i/>
          <w:iCs/>
          <w:color w:val="000000" w:themeColor="text1"/>
        </w:rPr>
        <w:t xml:space="preserve">  </w:t>
      </w:r>
      <w:r w:rsidR="00033B12" w:rsidRPr="00775854">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  If a certain design is selected, such as a placebo-controlled randomized clinical trial, and there are ethical issues associated with that design, the PI should explain why this design was selected.  If useful, explain why one design was selected over another.  If the study involves multiple phases, explain each one clearly and how they are related.  If the new application seeks IRB approval for a first phase only, there is no need to provide all the details of subsequent phases, especially when those details may not yet be available.  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2180EC89"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 xml:space="preserve">Provide a sample size and a justification as to how you arrived at that number.  </w:t>
      </w:r>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 xml:space="preserve">The IRB must evaluate whether the research application provides adequate justification for the sample size requested.    Otherwise, two negative outcomes are more likely from the start: if the number is too low, there is a reduced likelihood that the research activity will produce a meaningful result; if too high, more human subjects will be put at risk or inconvenienced than is necessary.  The PI must explain the sample size chosen </w:t>
      </w:r>
      <w:r>
        <w:rPr>
          <w:rFonts w:ascii="Arial" w:hAnsi="Arial" w:cs="Arial"/>
        </w:rPr>
        <w:t xml:space="preserve">for each study activity </w:t>
      </w:r>
      <w:r w:rsidRPr="007A2D83">
        <w:rPr>
          <w:rFonts w:ascii="Arial" w:hAnsi="Arial" w:cs="Arial"/>
        </w:rPr>
        <w:t>and the rationale for that choice.  Since there is variation across scientific disciplines in how samples are determined, explanation of research standards or practices for specific methodologies may be helpful to provide.  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Describe the study participants and the population from which they will be drawn. </w:t>
      </w:r>
      <w:r w:rsidR="00463CB3" w:rsidRPr="00775854">
        <w:rPr>
          <w:rFonts w:ascii="Arial" w:hAnsi="Arial" w:cs="Arial"/>
          <w:i/>
          <w:iCs/>
          <w:color w:val="000000" w:themeColor="text1"/>
        </w:rPr>
        <w:t xml:space="preserve"> Specify the inclusion and exclusion criteria. </w:t>
      </w:r>
      <w:r w:rsidRPr="00775854">
        <w:rPr>
          <w:rFonts w:ascii="Arial" w:hAnsi="Arial" w:cs="Arial"/>
          <w:i/>
          <w:iCs/>
          <w:color w:val="000000" w:themeColor="text1"/>
        </w:rPr>
        <w:t xml:space="preserve"> 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lastRenderedPageBreak/>
        <w:t>Provide details about the population or community from which you plan to recruit your participants.  If the research involves multiple populations (for example, key informants, index participants, associates of index participants identified through snowball recruiting; or community leaders, heads of household, individual members of a household), list and describe each of them.  If an individual enrolled in a study provides identifiable private information about family members or social contacts, the IRB will consider these individuals to be secondary subjects and will evaluate the protections in place for those individuals as well.  The IRB must also evaluate whether the study population includes individuals considered to be “vulnerable”, including children, pregnant women, prisoners, and adults who lack capacity to consent for themselves.  These populations are subject to specific ethical and regulatory protections. Involvement of special populations, such as children who are in foster care, trigger concerns about who actually has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  Any inclusion and exclusion criteria must be consistent with the aims and objectives of the study, and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  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 xml:space="preserve">Note:  IRB oversight begins as soon as a PI obtains private information about a person for research purposes.  This means that if there is a “screening process” which determines whether individuals meet eligibility requirements, and winnows down the select population members to the desired subset, that process must be clearly explained to the IRB.  If you will interact with a potential participant for screening purposes to determine eligibility, that activity is part of the study and requires consent or a waiver of informed consent (for example, to access existing medical records), if appropriate.  </w:t>
      </w:r>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3F1580" w:rsidRPr="00775854">
        <w:rPr>
          <w:rFonts w:ascii="Arial" w:hAnsi="Arial" w:cs="Arial"/>
          <w:i/>
          <w:color w:val="000000" w:themeColor="text1"/>
          <w:u w:val="single"/>
        </w:rPr>
        <w:t xml:space="preserve">JHSPH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t xml:space="preserve">The IRB review focuses heavily on all interactions with human participants and their personal information, starting with recruitment.  This focus is more intense than what you might expect from the scientific reviewer of a grant application.  We need all the incremental details.  </w:t>
      </w:r>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  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r w:rsidRPr="00A0298D">
        <w:rPr>
          <w:rFonts w:ascii="Arial" w:hAnsi="Arial" w:cs="Arial"/>
        </w:rPr>
        <w:t xml:space="preserve">.  The IRB needs to know all the details about the recruitment plan: who will communicate about the study, where will that communication take place, and through what mechanism(s).  How will potential subjects be able to respond to those communications, and who will receive those inquiries? How will this process integrate with the informed consent process?  </w:t>
      </w:r>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  The PI must address this issue, and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r w:rsidR="00463CB3" w:rsidRPr="00775854">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etc.  The IRB must examine and approve each material, in English, and must also understand and approve the plan for its use.  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  The translated items may</w:t>
      </w:r>
      <w:r w:rsidR="00962D1E">
        <w:rPr>
          <w:rFonts w:ascii="Arial" w:hAnsi="Arial" w:cs="Arial"/>
        </w:rPr>
        <w:t xml:space="preserve"> or may not</w:t>
      </w:r>
      <w:r w:rsidRPr="00450F9B">
        <w:rPr>
          <w:rFonts w:ascii="Arial" w:hAnsi="Arial" w:cs="Arial"/>
        </w:rPr>
        <w:t xml:space="preserve"> not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 xml:space="preserve">Potential study participants have certain expectations of privacy that the PI must understand and respect.  Privacy includes physical privacy and the right of the individual to choose when and how to disclose personal information that otherwise would not be accessible.  During recruitment, those expectations must be protected.  Physical privacy requires study staff to be discreet when conducting research-related exams.  Protecting informational privacy may also require discretion. For example, the IRB will not approve a process which involves approaching potential participants in a clinic waiting room, where conversations might be </w:t>
      </w:r>
      <w:proofErr w:type="gramStart"/>
      <w:r w:rsidRPr="003B4669">
        <w:rPr>
          <w:rFonts w:ascii="Arial" w:hAnsi="Arial" w:cs="Arial"/>
        </w:rPr>
        <w:t>overheard</w:t>
      </w:r>
      <w:proofErr w:type="gramEnd"/>
      <w:r w:rsidRPr="003B4669">
        <w:rPr>
          <w:rFonts w:ascii="Arial" w:hAnsi="Arial" w:cs="Arial"/>
        </w:rPr>
        <w:t xml:space="preserve"> and an individual’s privacy compromised.  Generally, for clinical recruitment, the IRB will not allow a PI to “cold call” potential participants by telephone; there must be some connection between the research team and the potential participant, such as referral from a clinician.  In settings involving recruitment of a family member and a head of household’s consent must first be obtained, the privacy of the family member may not be compromised in the discussions with the head of household.  Similarly, if enrolling adolescents in studies that 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The U.S. Office of Human Research Protections issued a guidance which makes clear than any individual who obtains informed consent from a participant is “engaged” in human </w:t>
      </w:r>
      <w:proofErr w:type="gramStart"/>
      <w:r w:rsidRPr="005F7F5A">
        <w:rPr>
          <w:rFonts w:ascii="Arial" w:hAnsi="Arial" w:cs="Arial"/>
        </w:rPr>
        <w:t>subjects</w:t>
      </w:r>
      <w:proofErr w:type="gramEnd"/>
      <w:r w:rsidRPr="005F7F5A">
        <w:rPr>
          <w:rFonts w:ascii="Arial" w:hAnsi="Arial" w:cs="Arial"/>
        </w:rPr>
        <w:t xml:space="preserve"> research.  That person must be trained in human </w:t>
      </w:r>
      <w:proofErr w:type="gramStart"/>
      <w:r w:rsidRPr="005F7F5A">
        <w:rPr>
          <w:rFonts w:ascii="Arial" w:hAnsi="Arial" w:cs="Arial"/>
        </w:rPr>
        <w:t>subjects</w:t>
      </w:r>
      <w:proofErr w:type="gramEnd"/>
      <w:r w:rsidRPr="005F7F5A">
        <w:rPr>
          <w:rFonts w:ascii="Arial" w:hAnsi="Arial" w:cs="Arial"/>
        </w:rPr>
        <w:t xml:space="preserve"> research ethics and be qualified to provide information about the study and answer questions that potential participants may ask.  The individual should be sensitized to being able to assess when a potential participant understands what the study is about and whether or not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w:t>
      </w:r>
      <w:proofErr w:type="gramStart"/>
      <w:r w:rsidRPr="005F7F5A">
        <w:rPr>
          <w:rFonts w:ascii="Arial" w:hAnsi="Arial" w:cs="Arial"/>
        </w:rPr>
        <w:t>make a decision</w:t>
      </w:r>
      <w:proofErr w:type="gramEnd"/>
      <w:r w:rsidRPr="005F7F5A">
        <w:rPr>
          <w:rFonts w:ascii="Arial" w:hAnsi="Arial" w:cs="Arial"/>
        </w:rPr>
        <w:t xml:space="preserve"> whether or not to provide consent.  The PI must provide details about the timing and the setting, and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  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If children will participate in the study, the PI must obtain permission from the parents or legal guardian of the children.  The law of the research site jurisdiction governs the definition of “adult” and when a person reaches the “age of majority”.  The PI should know what this age is and incorporate it into the research plan.  Some jurisdictions permit minors to provide consent for certain health related services as adults (without parental involvement).  In such cases, the minors are equivalent to adults – and it is not appropriate to ask for parental permission.  There also may be studies for which parental permission is not a “reasonable requirement” because of family circumstances; for example, if the study involves children who have been abused or neglected by a parent.  In such cases, parental permission may be </w:t>
      </w:r>
      <w:proofErr w:type="gramStart"/>
      <w:r w:rsidRPr="005F7F5A">
        <w:rPr>
          <w:rFonts w:ascii="Arial" w:hAnsi="Arial" w:cs="Arial"/>
        </w:rPr>
        <w:t>waived</w:t>
      </w:r>
      <w:proofErr w:type="gramEnd"/>
      <w:r w:rsidRPr="005F7F5A">
        <w:rPr>
          <w:rFonts w:ascii="Arial" w:hAnsi="Arial" w:cs="Arial"/>
        </w:rPr>
        <w:t xml:space="preserve">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In studies involving children, the IRB will expect the PI to obtain the “assent”, or agreement, of any child whose age, maturity, and psychological state qualifies them to consider participation.  The IRB may waive assent in the event that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  Like consent, assent may be obtained without documentation (signature) where appropriate; the PI must provide a justification and a request for waiver of documentation.  </w:t>
      </w:r>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Some study populations are “vulnerable”, in the sense that they have a condition that may compromise an individual’s ability to provide voluntary informed consent.  That compromise may be to the individual’s freedom, as with prisoners, or mental capacity, as with adults with dementia.   Social and economic pressures may also unduly influence an individual’s </w:t>
      </w:r>
      <w:proofErr w:type="gramStart"/>
      <w:r w:rsidRPr="005F7F5A">
        <w:rPr>
          <w:rFonts w:ascii="Arial" w:hAnsi="Arial" w:cs="Arial"/>
        </w:rPr>
        <w:t>decision making</w:t>
      </w:r>
      <w:proofErr w:type="gramEnd"/>
      <w:r w:rsidRPr="005F7F5A">
        <w:rPr>
          <w:rFonts w:ascii="Arial" w:hAnsi="Arial" w:cs="Arial"/>
        </w:rPr>
        <w:t xml:space="preserve"> capacity, such as when an offer for enrollment includes free 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775854">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 xml:space="preserve">Many countries have populations who speak numerous languages, and the IRB needs to know how many consent documents, including oral scripts and documents for signature, will be </w:t>
      </w:r>
      <w:proofErr w:type="gramStart"/>
      <w:r w:rsidRPr="00766C27">
        <w:rPr>
          <w:rFonts w:ascii="Arial" w:hAnsi="Arial" w:cs="Arial"/>
        </w:rPr>
        <w:t>used</w:t>
      </w:r>
      <w:proofErr w:type="gramEnd"/>
      <w:r w:rsidRPr="00766C27">
        <w:rPr>
          <w:rFonts w:ascii="Arial" w:hAnsi="Arial" w:cs="Arial"/>
        </w:rPr>
        <w:t xml:space="preserve"> and translated in the study.  For unwritten languages and illiterate populations, the PI must explain how the study will be explained in a way that the individual will be able to make an informed decision whether or not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 xml:space="preserve">the procedures that participants will undergo.  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 w14:paraId="4A2C8763" w14:textId="295A28C7" w:rsidR="00766C27" w:rsidRDefault="00766C27" w:rsidP="00955C83">
      <w:pPr>
        <w:pBdr>
          <w:top w:val="double" w:sz="4" w:space="1" w:color="auto"/>
          <w:left w:val="double" w:sz="4" w:space="4" w:color="auto"/>
          <w:bottom w:val="double" w:sz="4" w:space="1" w:color="auto"/>
          <w:right w:val="double" w:sz="4" w:space="4" w:color="auto"/>
        </w:pBdr>
        <w:tabs>
          <w:tab w:val="left" w:pos="1320"/>
          <w:tab w:val="left" w:pos="1440"/>
          <w:tab w:val="left" w:pos="1800"/>
        </w:tabs>
        <w:ind w:left="270"/>
        <w:rPr>
          <w:rFonts w:ascii="Arial" w:hAnsi="Arial" w:cs="Arial"/>
        </w:rPr>
      </w:pPr>
      <w:r w:rsidRPr="00766C27">
        <w:rPr>
          <w:rFonts w:ascii="Arial" w:hAnsi="Arial" w:cs="Arial"/>
        </w:rPr>
        <w:t>This section should be presented as methodically as possible.  The IRB will compare the procedures listed here with those explained in the consent form.  The research plan should include information about who will be conducting and overseeing each procedure, as well as details about where, when, how, and by whom they will occur.  Clinical procedures must be performed by trained clinicians.  If laboratory tests are conducted, clarify whether test results will be returned to participants and/or their personal physicians.</w:t>
      </w:r>
    </w:p>
    <w:p w14:paraId="02DB114B" w14:textId="4A61A56B" w:rsidR="00955C83" w:rsidRPr="00766C27"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s>
        <w:ind w:left="270"/>
        <w:rPr>
          <w:rFonts w:ascii="Arial" w:hAnsi="Arial" w:cs="Arial"/>
        </w:rPr>
      </w:pPr>
      <w:r>
        <w:rPr>
          <w:rFonts w:ascii="Arial" w:hAnsi="Arial" w:cs="Arial"/>
        </w:rPr>
        <w:t xml:space="preserve">It </w:t>
      </w:r>
      <w:r w:rsidRPr="00766C27">
        <w:rPr>
          <w:rFonts w:ascii="Arial" w:hAnsi="Arial" w:cs="Arial"/>
        </w:rPr>
        <w:t>is helpful to put oneself in the place of a potential participant in an effort to include all the details the participant would want to know.  If the study involves multiple subgroups of participants, or multiple phases, the PI must explain the procedures associated with each one and clearly separate them.  It may be helpful to provide a table to explain the study procedures</w:t>
      </w:r>
      <w:r>
        <w:rPr>
          <w:rFonts w:ascii="Arial" w:hAnsi="Arial" w:cs="Arial"/>
        </w:rPr>
        <w:t>.</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The IRB, and the study participants, need to know what the burden of time and inconvenience associated with the study might be.  The location of the visits is relevant to that assessment. Describe the total period an individual subject will be activity involved (e.g., three 1-hour visits over 6 months; two weekly, 2-hour phone calls, etc).</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651A7D5B" w14:textId="77777777" w:rsidR="00EE424C" w:rsidRPr="00EE424C" w:rsidRDefault="00EE424C" w:rsidP="00EE424C">
      <w:pPr>
        <w:pBdr>
          <w:top w:val="double" w:sz="4" w:space="1" w:color="auto"/>
          <w:left w:val="double" w:sz="4" w:space="4" w:color="auto"/>
          <w:bottom w:val="double" w:sz="4" w:space="1" w:color="auto"/>
          <w:right w:val="double" w:sz="4" w:space="4" w:color="auto"/>
        </w:pBdr>
        <w:tabs>
          <w:tab w:val="left" w:pos="1320"/>
          <w:tab w:val="left" w:pos="1440"/>
          <w:tab w:val="left" w:pos="1800"/>
        </w:tabs>
        <w:ind w:left="360"/>
        <w:rPr>
          <w:rFonts w:ascii="Arial" w:hAnsi="Arial" w:cs="Arial"/>
        </w:rPr>
      </w:pPr>
      <w:r w:rsidRPr="00EE424C">
        <w:rPr>
          <w:rFonts w:ascii="Arial" w:hAnsi="Arial" w:cs="Arial"/>
        </w:rPr>
        <w:t>The IRB needs to know how long the PI believes it will take to complete the proposed data collection.  This information sets an expectation as to the pace of data collection and analysis.  As the study proceeds, the IRB will review progress reports and compare them to the initial time projection in the research plan.  Slow progress could indicate a feasibility or recruitment problem that would, in turn, affect the exposure of participants to risk or inconvenience.  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77777777"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 xml:space="preserve">This section should relate to the sample size information provided in Section 2c.  The IRB must understand how the PI will analyze the data to address the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77777777" w:rsidR="009571CD" w:rsidRPr="00D218B9" w:rsidRDefault="009571CD" w:rsidP="00507439">
            <w:pPr>
              <w:pStyle w:val="ListParagraph"/>
              <w:ind w:left="0"/>
              <w:rPr>
                <w:rFonts w:ascii="Arial" w:hAnsi="Arial" w:cs="Arial"/>
              </w:rPr>
            </w:pPr>
            <w:r w:rsidRPr="009571CD">
              <w:rPr>
                <w:rFonts w:ascii="Arial" w:hAnsi="Arial" w:cs="Arial"/>
              </w:rPr>
              <w:t xml:space="preserve">The IRB needs to know how the study team will make assignments, particularly in studies that use any type of randomization.  Will you use a numerical sequence?  Computer generated algorithm?  This question relates to issues of masking, or blinding, study team members (see below).  </w:t>
            </w:r>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7AABF34B" w:rsidR="009571CD" w:rsidRPr="009571CD" w:rsidRDefault="009571CD"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sidRPr="009571CD">
        <w:rPr>
          <w:rFonts w:ascii="Arial" w:hAnsi="Arial" w:cs="Arial"/>
        </w:rPr>
        <w:t>The IRB needs to know what specimens the PI intends to collect, by whom (with what qualifications and/or credentials), how, where, and what will be done with those specimens.  This part of the research plan addresses only the biospecimens that will be used up during the course of the study and not the specimens retained for future research.  That topic is discussed the last part of this research plan</w:t>
      </w:r>
      <w:r w:rsidR="002C3135">
        <w:rPr>
          <w:rFonts w:ascii="Arial" w:hAnsi="Arial" w:cs="Arial"/>
        </w:rPr>
        <w:t xml:space="preserve"> in the Biospecimen Repository section</w:t>
      </w:r>
      <w:r w:rsidRPr="009571CD">
        <w:rPr>
          <w:rFonts w:ascii="Arial" w:hAnsi="Arial" w:cs="Arial"/>
        </w:rPr>
        <w:t>.  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other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22AE7A92" w:rsidR="00C268AF" w:rsidRPr="00D218B9" w:rsidRDefault="00C268AF"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sidRPr="00C268AF">
        <w:rPr>
          <w:rFonts w:ascii="Arial" w:hAnsi="Arial" w:cs="Arial"/>
        </w:rPr>
        <w:t>The IRB requires details about genetic and genomic research so that it may assess the risks associated with the analyses, and ensure that the participants are properly informed about those risks.  These details must be very clear</w:t>
      </w:r>
      <w:r w:rsidR="009D7DA2">
        <w:rPr>
          <w:rFonts w:ascii="Arial" w:hAnsi="Arial" w:cs="Arial"/>
        </w:rPr>
        <w:t xml:space="preserve"> and consistent with</w:t>
      </w:r>
      <w:r w:rsidRPr="00C268AF">
        <w:rPr>
          <w:rFonts w:ascii="Arial" w:hAnsi="Arial" w:cs="Arial"/>
        </w:rPr>
        <w:t xml:space="preserve"> material transfer agreements and other contractual arrangements.  If a PI intends to submit genomic data for Genome Wide Association Studies (GWAS), those details should be included here so the IRB may produce the appropriate certification.  Be aware of the requirements of NIH’s Genomic Data Sharing Policy (see: </w:t>
      </w:r>
      <w:hyperlink r:id="rId12" w:history="1">
        <w:r w:rsidRPr="00D218B9">
          <w:rPr>
            <w:rStyle w:val="Hyperlink"/>
            <w:rFonts w:ascii="Arial" w:hAnsi="Arial" w:cs="Arial"/>
          </w:rPr>
          <w:t>https://osp.od.nih.gov/scientific-sharing/genomic-data-sharing/</w:t>
        </w:r>
      </w:hyperlink>
      <w:r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r w:rsidRPr="009D7DA2">
              <w:rPr>
                <w:rFonts w:ascii="Arial" w:hAnsi="Arial" w:cs="Arial"/>
              </w:rPr>
              <w:t>.  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r w:rsidRPr="00775854">
        <w:rPr>
          <w:rFonts w:ascii="Arial" w:hAnsi="Arial" w:cs="Arial"/>
          <w:i/>
          <w:iCs/>
          <w:color w:val="000000" w:themeColor="text1"/>
        </w:rPr>
        <w:t xml:space="preserve">  </w:t>
      </w:r>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 xml:space="preserve">Explain the failure rate and under what circumstances you will repeat a test.  </w:t>
      </w:r>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r w:rsidR="00E94D81" w:rsidRPr="00775854">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i/>
        </w:rPr>
        <w:t>In vitro</w:t>
      </w:r>
      <w:r w:rsidRPr="001318EB">
        <w:rPr>
          <w:rFonts w:ascii="Arial" w:hAnsi="Arial" w:cs="Arial"/>
        </w:rPr>
        <w:t xml:space="preserve"> diagnostic tests are “medical devices” regulated in the U.S. by the FDA.  FDA approved tests have a known </w:t>
      </w:r>
      <w:r w:rsidRPr="007A7CD0">
        <w:rPr>
          <w:rFonts w:ascii="Arial" w:hAnsi="Arial" w:cs="Arial"/>
          <w:u w:val="single"/>
        </w:rPr>
        <w:t>sensitivity and specificity</w:t>
      </w:r>
      <w:r w:rsidRPr="001318EB">
        <w:rPr>
          <w:rFonts w:ascii="Arial" w:hAnsi="Arial" w:cs="Arial"/>
        </w:rPr>
        <w:t xml:space="preserve"> that give clinicians information about their reliability.  Investigational tests are not validated, making the information they produce uncertain in their accuracy and value to the participant.  The IRB needs to know how accurate diagnostic tests conducted in a research study are.  </w:t>
      </w:r>
    </w:p>
    <w:p w14:paraId="44540D31"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rPr>
        <w:t xml:space="preserve">In general, the IRB will anticipate that clinicians are familiar with the sensitivity and specificity of approved tests.  If those tests are used for standard of care purposes, and results provided to participants, the IRB will expect the study to provide the usual referrals that a participant may receive outside the study.  </w:t>
      </w:r>
    </w:p>
    <w:p w14:paraId="678AEFE2"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rPr>
        <w:t xml:space="preserve">The IRB will consider results </w:t>
      </w:r>
      <w:r w:rsidRPr="001318EB">
        <w:rPr>
          <w:rFonts w:ascii="Arial" w:hAnsi="Arial" w:cs="Arial"/>
          <w:u w:val="single"/>
        </w:rPr>
        <w:t>of all kinds</w:t>
      </w:r>
      <w:r w:rsidRPr="001318EB">
        <w:rPr>
          <w:rFonts w:ascii="Arial" w:hAnsi="Arial" w:cs="Arial"/>
        </w:rPr>
        <w:t xml:space="preserve"> of which, if disclosed to participants, may be used to make decisions about a participant’s welfare.  The IRB will think about whether participants will consider having to undergo additional expensive testing or make decisions relying on questionable information.  Investigators should not return laboratory results from labs that do not meet clinical standards in the U.S. (CLIA certified or CLIA waived) or in the country where the testing takes place.  Results from investigational tests generally should not be returned unless validated against the gold standard.  Explain the plan for reporting, or not reporting, diagnostic test results back to participants and justify the choice.</w:t>
      </w:r>
    </w:p>
    <w:p w14:paraId="58219E32" w14:textId="7AC49D58" w:rsidR="001318EB" w:rsidRPr="00D218B9"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color w:val="0070C0"/>
        </w:rPr>
      </w:pPr>
      <w:r w:rsidRPr="001318EB">
        <w:rPr>
          <w:rFonts w:ascii="Arial" w:hAnsi="Arial" w:cs="Arial"/>
        </w:rPr>
        <w:t xml:space="preserve">For other diagnostic tests not regulated by the FDA, </w:t>
      </w:r>
      <w:r w:rsidR="007A7CD0">
        <w:rPr>
          <w:rFonts w:ascii="Arial" w:hAnsi="Arial" w:cs="Arial"/>
        </w:rPr>
        <w:t xml:space="preserve">such as psychological tests, </w:t>
      </w:r>
      <w:r w:rsidRPr="001318EB">
        <w:rPr>
          <w:rFonts w:ascii="Arial" w:hAnsi="Arial" w:cs="Arial"/>
        </w:rPr>
        <w:t xml:space="preserve">the same principles apply. </w:t>
      </w:r>
      <w:r w:rsidR="007A7CD0">
        <w:rPr>
          <w:rFonts w:ascii="Arial" w:hAnsi="Arial" w:cs="Arial"/>
        </w:rPr>
        <w:t>You may return the results of validated tests used routinely as standard care; unvalidated test results should not be returned to study participants as their accuracy is not well understood and could lead to misinformation.</w:t>
      </w:r>
      <w:r w:rsidRPr="001318EB">
        <w:rPr>
          <w:rFonts w:ascii="Arial" w:hAnsi="Arial" w:cs="Arial"/>
        </w:rPr>
        <w:t xml:space="preserve"> The IRB will consider how accurate proposed tests are and what the consequences may be for participants who receive the test results.  </w:t>
      </w:r>
      <w:r w:rsidRPr="007A7CD0">
        <w:rPr>
          <w:rFonts w:ascii="Arial" w:hAnsi="Arial" w:cs="Arial"/>
          <w:u w:val="single"/>
        </w:rPr>
        <w:t>If you are using diagnostic devices, please complete the “Medical Devices” section of this Research Plan</w:t>
      </w:r>
      <w:r>
        <w:rPr>
          <w:rFonts w:ascii="Arial" w:hAnsi="Arial" w:cs="Arial"/>
          <w:color w:val="0070C0"/>
        </w:rPr>
        <w:t>.</w:t>
      </w:r>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w:t>
      </w:r>
      <w:proofErr w:type="gramStart"/>
      <w:r w:rsidRPr="00775854">
        <w:rPr>
          <w:rFonts w:ascii="Arial" w:hAnsi="Arial" w:cs="Arial"/>
          <w:i/>
          <w:iCs/>
          <w:color w:val="000000" w:themeColor="text1"/>
        </w:rPr>
        <w:t>pharmaceutical</w:t>
      </w:r>
      <w:proofErr w:type="gramEnd"/>
      <w:r w:rsidRPr="00775854">
        <w:rPr>
          <w:rFonts w:ascii="Arial" w:hAnsi="Arial" w:cs="Arial"/>
          <w:i/>
          <w:iCs/>
          <w:color w:val="000000" w:themeColor="text1"/>
        </w:rPr>
        <w:t xml:space="preserve">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  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  Make sure to consider any risk to participants from the cessation of treatment, and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  If the study design involves use of placebo, and use of a product approved in a developed country in the intervention group, the ethical justification of withholding the proven product from the placebo group must be addressed.  Provision of the product at a later time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t xml:space="preserve">For therapeutic studies, if there are criteria for removing participants for medical reasons, please explain.  For all studies, identify any reasons for which a participant might be removed from a study (noncompliance, failure to come to study visits, etc.).  </w:t>
      </w:r>
      <w:proofErr w:type="gramStart"/>
      <w:r w:rsidRPr="00121E44">
        <w:rPr>
          <w:rFonts w:ascii="Arial" w:hAnsi="Arial" w:cs="Arial"/>
        </w:rPr>
        <w:t>Explain also</w:t>
      </w:r>
      <w:proofErr w:type="gramEnd"/>
      <w:r w:rsidRPr="00121E44">
        <w:rPr>
          <w:rFonts w:ascii="Arial" w:hAnsi="Arial" w:cs="Arial"/>
        </w:rPr>
        <w:t xml:space="preserve"> the 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  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  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 xml:space="preserve">If investigators anticipate learning information about participants which may require professional attention outside the study, the research plan should explain how those referrals will be made.  </w:t>
      </w:r>
      <w:r w:rsidRPr="00121E44">
        <w:rPr>
          <w:rFonts w:ascii="Arial" w:hAnsi="Arial" w:cs="Arial"/>
          <w:u w:val="single"/>
        </w:rPr>
        <w:t>This is true even for questionnaire and survey studies</w:t>
      </w:r>
      <w:r>
        <w:rPr>
          <w:rFonts w:ascii="Arial" w:hAnsi="Arial" w:cs="Arial"/>
        </w:rPr>
        <w:t xml:space="preserve">.  </w:t>
      </w:r>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  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  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77777777"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B151A4"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B151A4"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B151A4"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507439" w14:paraId="07A93D68" w14:textId="77777777" w:rsidTr="00507439">
        <w:tc>
          <w:tcPr>
            <w:tcW w:w="10515" w:type="dxa"/>
          </w:tcPr>
          <w:p w14:paraId="056ABF7B" w14:textId="77777777" w:rsidR="00507439" w:rsidRDefault="00B151A4"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 xml:space="preserve">Yes  </w:t>
            </w:r>
            <w:r w:rsidR="00507439">
              <w:t>Continue</w:t>
            </w:r>
            <w:proofErr w:type="gramEnd"/>
            <w:r w:rsidR="00507439">
              <w:t xml:space="preserve"> with Question 3</w:t>
            </w:r>
          </w:p>
          <w:p w14:paraId="6B40823C" w14:textId="77777777" w:rsidR="00507439" w:rsidRDefault="00B151A4"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 xml:space="preserve">  Skip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7777777" w:rsidR="00507439" w:rsidRDefault="00B151A4" w:rsidP="00507439">
            <w:pPr>
              <w:pStyle w:val="form-list"/>
              <w:ind w:left="245"/>
            </w:pPr>
            <w:sdt>
              <w:sdtPr>
                <w:id w:val="-128587920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BDE2166" w14:textId="77777777" w:rsidR="00507439" w:rsidRDefault="00B151A4" w:rsidP="00507439">
            <w:pPr>
              <w:pStyle w:val="form-list"/>
              <w:ind w:left="0"/>
              <w:jc w:val="center"/>
            </w:pPr>
            <w:sdt>
              <w:sdtPr>
                <w:id w:val="-103079311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 xml:space="preserve">Name, signature, </w:t>
            </w:r>
            <w:proofErr w:type="gramStart"/>
            <w:r>
              <w:t>initials</w:t>
            </w:r>
            <w:proofErr w:type="gramEnd"/>
            <w:r>
              <w:t xml:space="preserve"> or other identifiable code</w:t>
            </w:r>
          </w:p>
        </w:tc>
      </w:tr>
      <w:tr w:rsidR="00507439" w14:paraId="251F5B1C" w14:textId="77777777" w:rsidTr="00507439">
        <w:tc>
          <w:tcPr>
            <w:tcW w:w="1710" w:type="dxa"/>
          </w:tcPr>
          <w:p w14:paraId="5DD9CA92" w14:textId="77777777" w:rsidR="00507439" w:rsidRDefault="00B151A4"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73D3529" w14:textId="77777777" w:rsidR="00507439" w:rsidRDefault="00B151A4"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B151A4"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807FCF2" w14:textId="77777777" w:rsidR="00507439" w:rsidRDefault="00B151A4"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B151A4"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AA39C6D" w14:textId="77777777" w:rsidR="00507439" w:rsidRDefault="00B151A4"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B151A4"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493B9763" w14:textId="77777777" w:rsidR="00507439" w:rsidRDefault="00B151A4"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B151A4"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19CCBBE" w14:textId="77777777" w:rsidR="00507439" w:rsidRDefault="00B151A4"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B151A4"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7918B88" w14:textId="77777777" w:rsidR="00507439" w:rsidRDefault="00B151A4"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B151A4"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088D6ED" w14:textId="77777777" w:rsidR="00507439" w:rsidRDefault="00B151A4"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B151A4"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F72B634" w14:textId="77777777" w:rsidR="00507439" w:rsidRDefault="00B151A4"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B151A4"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1BDBB3C8" w14:textId="77777777" w:rsidR="00507439" w:rsidRDefault="00B151A4"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B151A4"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D717632" w14:textId="77777777" w:rsidR="00507439" w:rsidRDefault="00B151A4"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B151A4"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D3A7A1F" w14:textId="77777777" w:rsidR="00507439" w:rsidRDefault="00B151A4"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B151A4"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FEAEC56" w14:textId="77777777" w:rsidR="00507439" w:rsidRDefault="00B151A4"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B151A4"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8E0A3C3" w14:textId="77777777" w:rsidR="00507439" w:rsidRDefault="00B151A4"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F67009">
          <w:headerReference w:type="default" r:id="rId1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B151A4"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w:t>
            </w:r>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B151A4"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B151A4"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B151A4"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B151A4"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  </w:t>
            </w:r>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B151A4"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r w:rsidRPr="00941B0A">
              <w:t>Data  encrypted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B151A4"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Other.  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507439" w14:paraId="1F546882" w14:textId="77777777" w:rsidTr="00507439">
        <w:tc>
          <w:tcPr>
            <w:tcW w:w="10515" w:type="dxa"/>
          </w:tcPr>
          <w:p w14:paraId="5F5C2683" w14:textId="77777777" w:rsidR="00507439" w:rsidRDefault="00B151A4"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B151A4"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B151A4"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B151A4"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entered into file/database</w:t>
            </w:r>
          </w:p>
          <w:p w14:paraId="0A01ADB4" w14:textId="77777777" w:rsidR="00507439" w:rsidRDefault="00B151A4"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  </w:t>
            </w:r>
            <w:r w:rsidR="00507439" w:rsidRPr="00A05778">
              <w:rPr>
                <w:i/>
                <w:iCs/>
              </w:rPr>
              <w:t xml:space="preserve">Review </w:t>
            </w:r>
            <w:hyperlink r:id="rId17"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B151A4"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B151A4"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Online survey.  </w:t>
            </w:r>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B151A4"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3rd party collector.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77777777" w:rsidR="00507439" w:rsidRDefault="00B151A4"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JHSPH </w:t>
            </w:r>
            <w:r w:rsidR="00507439" w:rsidRPr="00FD1D75">
              <w:rPr>
                <w:rFonts w:cstheme="minorHAnsi"/>
              </w:rPr>
              <w:t>by data provider</w:t>
            </w:r>
            <w:r w:rsidR="00507439">
              <w:rPr>
                <w:rFonts w:cstheme="minorHAnsi"/>
              </w:rPr>
              <w:t xml:space="preserve"> via electronic access/transfer</w:t>
            </w:r>
          </w:p>
          <w:p w14:paraId="7B45CDEE" w14:textId="77777777" w:rsidR="00507439" w:rsidRDefault="00B151A4"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B151A4"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Other.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507439" w14:paraId="54366660" w14:textId="77777777" w:rsidTr="00507439">
        <w:tc>
          <w:tcPr>
            <w:tcW w:w="10515" w:type="dxa"/>
          </w:tcPr>
          <w:p w14:paraId="25CFF6C3" w14:textId="77777777" w:rsidR="00507439" w:rsidRDefault="00B151A4"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77777777"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Pr="00C56BDD">
              <w:rPr>
                <w:rFonts w:cstheme="minorHAnsi"/>
              </w:rPr>
              <w:t>JHSPH HPCC</w:t>
            </w:r>
          </w:p>
          <w:p w14:paraId="609684C5" w14:textId="77777777"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77777777"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Share</w:t>
            </w:r>
            <w:r>
              <w:rPr>
                <w:rFonts w:cstheme="minorHAnsi"/>
              </w:rPr>
              <w:t xml:space="preserve">point                            </w:t>
            </w:r>
            <w:sdt>
              <w:sdtPr>
                <w:rPr>
                  <w:rFonts w:cstheme="minorHAnsi"/>
                  <w:sz w:val="20"/>
                  <w:szCs w:val="20"/>
                </w:rPr>
                <w:id w:val="-2135170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77777777" w:rsidR="00507439" w:rsidRDefault="00B151A4"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JH/JHSPH, not pre-approved, and require a risk assessment review from JHSPH Data Security.  </w:t>
            </w:r>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77777777"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hyperlink r:id="rId18"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19"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addresses providing permissions to individual people.)  Check all that apply.  Note:  If you need assistance implementing secure access controls, contact </w:t>
            </w:r>
            <w:hyperlink r:id="rId20"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t>
            </w:r>
            <w:proofErr w:type="gramStart"/>
            <w:r w:rsidR="00507439">
              <w:rPr>
                <w:rFonts w:ascii="Segoe UI Symbol" w:eastAsia="MS Gothic" w:hAnsi="Segoe UI Symbol" w:cs="Segoe UI Symbol"/>
                <w:sz w:val="20"/>
                <w:szCs w:val="20"/>
              </w:rPr>
              <w:t>websites</w:t>
            </w:r>
            <w:proofErr w:type="gramEnd"/>
          </w:p>
          <w:p w14:paraId="10661CB6"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 xml:space="preserve">other </w:t>
            </w:r>
            <w:proofErr w:type="gramStart"/>
            <w:r w:rsidR="00507439" w:rsidRPr="00C237C2">
              <w:rPr>
                <w:rFonts w:ascii="Segoe UI Symbol" w:eastAsia="MS Gothic" w:hAnsi="Segoe UI Symbol" w:cs="Segoe UI Symbol"/>
                <w:sz w:val="20"/>
                <w:szCs w:val="20"/>
              </w:rPr>
              <w:t>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proofErr w:type="gramEnd"/>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B151A4"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21"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t>All studies pose some sort of risk or discomfort, even a survey study may introduce boredom or inconvenience to its participants.  The PI must consider all reasonably foreseeable consequences of participation to participants, possible secondary subjects, and to the community – the good and the bad – and describe them in the research plan.  The consequences of a breach of confidentiality require particular thought.  Consent documentation must be consistent with the risks listed here.  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  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 xml:space="preserve">each of the risks described above.  </w:t>
      </w:r>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  For psychological testing, minimizing risk might include providing adequate access to care for participants should a test reveal psychological distress.  For a survey study involving collection of data about illegal behaviors, the precautions surrounding the timing and site of the data collection add protections which minimize risk.  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  How many visits or sessions does the study require, and how long will each of them take?  Is transportation, distance or cost, an issue?  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07EED39B"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 xml:space="preserve">Privacy involves the physical and personal zones where participants expect no “invasion” without explicit permission.  For example, participants do not expect to have personal questions about their health </w:t>
      </w:r>
      <w:proofErr w:type="gramStart"/>
      <w:r w:rsidRPr="007D1E7A">
        <w:rPr>
          <w:rFonts w:ascii="Arial" w:hAnsi="Arial" w:cs="Arial"/>
        </w:rPr>
        <w:t>conditions</w:t>
      </w:r>
      <w:proofErr w:type="gramEnd"/>
      <w:r w:rsidRPr="007D1E7A">
        <w:rPr>
          <w:rFonts w:ascii="Arial" w:hAnsi="Arial" w:cs="Arial"/>
        </w:rPr>
        <w:t xml:space="preserve"> or their sexual behaviors asked in a place where other people can hear</w:t>
      </w:r>
      <w:r w:rsidR="00372E35">
        <w:rPr>
          <w:rFonts w:ascii="Arial" w:hAnsi="Arial" w:cs="Arial"/>
        </w:rPr>
        <w:t xml:space="preserve">; that’s </w:t>
      </w:r>
      <w:proofErr w:type="gramStart"/>
      <w:r w:rsidR="00372E35">
        <w:rPr>
          <w:rFonts w:ascii="Arial" w:hAnsi="Arial" w:cs="Arial"/>
        </w:rPr>
        <w:t>particulary</w:t>
      </w:r>
      <w:proofErr w:type="gramEnd"/>
      <w:r w:rsidR="00372E35">
        <w:rPr>
          <w:rFonts w:ascii="Arial" w:hAnsi="Arial" w:cs="Arial"/>
        </w:rPr>
        <w:t xml:space="preserve"> important when using virtual data collection methods</w:t>
      </w:r>
      <w:r w:rsidRPr="007D1E7A">
        <w:rPr>
          <w:rFonts w:ascii="Arial" w:hAnsi="Arial" w:cs="Arial"/>
        </w:rPr>
        <w:t>.  They do not expect to have a physical exam in a place where others can watch.  And they expect the sanctity of their homes to be respected; so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  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 xml:space="preserve">For studies that offer no direct personal benefit, the IRB will expect the study to provide some token of appreciation if allowed by the local IRB.  The type of payment (tokens, gifts, food, gift cards, cash) must be appropriate and clear, as must be the amount of the payment and when it will be provided to participants.  The information in this section must be consistent with the information provided in the consent form.  The IRB will expect that if payment is offered, and the level of research burden on different groups of participants differs, payment will reflect those differences.  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4C4C53"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 xml:space="preserve">to study participants?  </w:t>
      </w:r>
      <w:r w:rsidR="001B3A2F" w:rsidRPr="00775854">
        <w:rPr>
          <w:rFonts w:ascii="Arial" w:hAnsi="Arial" w:cs="Arial"/>
          <w:i/>
          <w:iCs/>
          <w:color w:val="000000" w:themeColor="text1"/>
        </w:rPr>
        <w:t>If no payment is provided, the JHSPH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 w14:paraId="2F9E1EBD" w14:textId="7B6952B8"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 xml:space="preserve">According to the U.S. Office of Human Research Protections (OHRP), an investigator is “engaged” in human </w:t>
      </w:r>
      <w:proofErr w:type="gramStart"/>
      <w:r>
        <w:rPr>
          <w:rFonts w:ascii="Arial" w:hAnsi="Arial" w:cs="Arial"/>
          <w:color w:val="000000" w:themeColor="text1"/>
        </w:rPr>
        <w:t>subjects</w:t>
      </w:r>
      <w:proofErr w:type="gramEnd"/>
      <w:r>
        <w:rPr>
          <w:rFonts w:ascii="Arial" w:hAnsi="Arial" w:cs="Arial"/>
          <w:color w:val="000000" w:themeColor="text1"/>
        </w:rPr>
        <w:t xml:space="preserve">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  The IRB can assist with making the “engaged” determination</w:t>
      </w:r>
      <w:r w:rsidRPr="003C11A8">
        <w:rPr>
          <w:rFonts w:ascii="Arial" w:hAnsi="Arial" w:cs="Arial"/>
        </w:rPr>
        <w:t>.</w:t>
      </w:r>
      <w:r w:rsidR="003C11A8" w:rsidRPr="003C11A8">
        <w:rPr>
          <w:rFonts w:ascii="Arial" w:hAnsi="Arial" w:cs="Arial"/>
        </w:rPr>
        <w:t xml:space="preserve"> The JHSPH IRB only oversees JHU faculty and </w:t>
      </w:r>
      <w:proofErr w:type="gramStart"/>
      <w:r w:rsidR="003C11A8" w:rsidRPr="003C11A8">
        <w:rPr>
          <w:rFonts w:ascii="Arial" w:hAnsi="Arial" w:cs="Arial"/>
        </w:rPr>
        <w:t>staff, unless</w:t>
      </w:r>
      <w:proofErr w:type="gramEnd"/>
      <w:r w:rsidR="003C11A8" w:rsidRPr="003C11A8">
        <w:rPr>
          <w:rFonts w:ascii="Arial" w:hAnsi="Arial" w:cs="Arial"/>
        </w:rPr>
        <w:t xml:space="preserve"> it has entered into a reliance agreement of some sort with another institution under which it agrees to take on the responsibility for overseeing the human subjects research activities of another institution or an external investigator who is reporting directly to the JHSPH PI.  Other investigators must have IRB oversight by an IRB of an institution with which the individual has a formal association, e.g.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 xml:space="preserve">The IRB is responsible for ensuring that study personnel and investigators are qualified to perform the study procedures for which they are responsible.  These qualifications go beyond ethics training as preparation and could involve specific expertise in the clinical, quantitative, qualitative, coordinating, repository, and analytic activities outlined in this research plan. </w:t>
      </w:r>
    </w:p>
    <w:p w14:paraId="014F1256" w14:textId="1A8A86D6"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w:t>
      </w:r>
      <w:proofErr w:type="gramStart"/>
      <w:r w:rsidR="008909E5" w:rsidRPr="00CB5F3F">
        <w:rPr>
          <w:rFonts w:ascii="Arial" w:hAnsi="Arial" w:cs="Arial"/>
          <w:i/>
          <w:iCs/>
          <w:color w:val="000000" w:themeColor="text1"/>
        </w:rPr>
        <w:t>subjects</w:t>
      </w:r>
      <w:proofErr w:type="gramEnd"/>
      <w:r w:rsidR="008909E5" w:rsidRPr="00CB5F3F">
        <w:rPr>
          <w:rFonts w:ascii="Arial" w:hAnsi="Arial" w:cs="Arial"/>
          <w:i/>
          <w:iCs/>
          <w:color w:val="000000" w:themeColor="text1"/>
        </w:rPr>
        <w:t xml:space="preserve">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JHSPH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the JHSPH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2"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consider using the JHSPH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3"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r w:rsidR="005E5CF8">
        <w:rPr>
          <w:rStyle w:val="Hyperlink"/>
          <w:rFonts w:ascii="Arial" w:hAnsi="Arial" w:cs="Arial"/>
        </w:rPr>
        <w:t xml:space="preserve"> </w:t>
      </w:r>
      <w:r w:rsidRPr="00775854">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775854">
        <w:rPr>
          <w:rFonts w:ascii="Arial" w:hAnsi="Arial" w:cs="Arial"/>
          <w:i/>
          <w:iCs/>
          <w:color w:val="000000" w:themeColor="text1"/>
        </w:rPr>
        <w:t xml:space="preserve"> </w:t>
      </w:r>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30CEFA3B" w14:textId="1E43E598" w:rsidR="00474D77" w:rsidRPr="00FD299D"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r w:rsidR="00FD299D" w:rsidRPr="00FD299D">
        <w:rPr>
          <w:rFonts w:ascii="Arial" w:hAnsi="Arial" w:cs="Arial"/>
        </w:rPr>
        <w:t xml:space="preserve">.  Describe the safety monitoring for the study, both at a site level (medical monitoring of participants enrolled at the specific study site), and for the study overall.  Who will be responsible for reviewing safety reports and adverse event reports, and how will that information be communicated to individual sites?  If an individual monitor is used, clarify what specific steps that person will follow to ensure participants safety.  For </w:t>
      </w:r>
      <w:r w:rsidRPr="00FD299D">
        <w:rPr>
          <w:rFonts w:ascii="Arial" w:hAnsi="Arial" w:cs="Arial"/>
        </w:rPr>
        <w:t xml:space="preserve">medical intervention studies involving more than minimal risk, safety oversight may require the creation of a Data Safety Monitoring Board or Committee with a charter that outlines their objective, or charter, the data they will review and the frequency of that review.  It may be that the DSMB will set stopping rules for clinical trials or review data after a certain number of participants are enrolled.  For less risky studies, or studies that will enroll fewer people, a medical monitor may be appropriate for safety oversight. Resource: </w:t>
      </w:r>
      <w:hyperlink r:id="rId24" w:history="1">
        <w:r w:rsidRPr="00FD299D">
          <w:rPr>
            <w:rStyle w:val="Hyperlink"/>
            <w:rFonts w:ascii="Arial" w:hAnsi="Arial" w:cs="Arial"/>
            <w:color w:val="auto"/>
          </w:rPr>
          <w:t>https://www.nimh.nih.gov/funding/clinical-research/nimh-policy-governing-the-monitoring-of-clinical-trials</w:t>
        </w:r>
      </w:hyperlink>
      <w:r w:rsidRPr="00FD299D">
        <w:rPr>
          <w:rFonts w:ascii="Arial" w:hAnsi="Arial" w:cs="Arial"/>
        </w:rPr>
        <w:t>.  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 xml:space="preserve">The DSMB membership, </w:t>
      </w:r>
      <w:proofErr w:type="gramStart"/>
      <w:r w:rsidR="00A500D7" w:rsidRPr="00775854">
        <w:rPr>
          <w:rFonts w:ascii="Arial" w:hAnsi="Arial" w:cs="Arial"/>
          <w:i/>
          <w:iCs/>
          <w:color w:val="000000" w:themeColor="text1"/>
        </w:rPr>
        <w:t>affiliation</w:t>
      </w:r>
      <w:proofErr w:type="gramEnd"/>
      <w:r w:rsidR="00A500D7" w:rsidRPr="00775854">
        <w:rPr>
          <w:rFonts w:ascii="Arial" w:hAnsi="Arial" w:cs="Arial"/>
          <w:i/>
          <w:iCs/>
          <w:color w:val="000000" w:themeColor="text1"/>
        </w:rPr>
        <w:t xml:space="preserve">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r w:rsidRPr="00775854">
        <w:rPr>
          <w:rFonts w:ascii="Arial" w:hAnsi="Arial" w:cs="Arial"/>
          <w:i/>
          <w:iCs/>
          <w:color w:val="000000" w:themeColor="text1"/>
        </w:rPr>
        <w:t xml:space="preserve">.  </w:t>
      </w:r>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16E337A2"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 xml:space="preserve">Describe the report plan for unanticipated problems/adverse events, including reports to sponsor, data coordinating center (if applicable), DSMB, and IRBs.  JHSPH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r w:rsidRPr="00F20824">
        <w:rPr>
          <w:rFonts w:ascii="Arial" w:hAnsi="Arial" w:cs="Arial"/>
        </w:rPr>
        <w:t>.  (See policy 103.06, available under “Policies” at this IRB website page:</w:t>
      </w:r>
      <w:r w:rsidRPr="00F20824">
        <w:t xml:space="preserve"> </w:t>
      </w:r>
      <w:hyperlink r:id="rId25"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4526F3BF" w:rsidR="00A500D7" w:rsidRPr="00372E35" w:rsidRDefault="00A500D7" w:rsidP="00372E35">
      <w:pPr>
        <w:pStyle w:val="ListParagraph"/>
        <w:numPr>
          <w:ilvl w:val="0"/>
          <w:numId w:val="13"/>
        </w:numPr>
        <w:spacing w:before="60" w:after="120" w:line="240" w:lineRule="auto"/>
        <w:rPr>
          <w:rFonts w:ascii="Arial" w:hAnsi="Arial" w:cs="Arial"/>
          <w:color w:val="000000" w:themeColor="text1"/>
        </w:rPr>
      </w:pPr>
      <w:r w:rsidRPr="00372E35">
        <w:rPr>
          <w:rFonts w:ascii="Arial" w:hAnsi="Arial" w:cs="Arial"/>
          <w:b/>
          <w:color w:val="000000" w:themeColor="text1"/>
          <w:u w:val="single"/>
        </w:rPr>
        <w:t>Other IRBs/Ethics Review Boards</w:t>
      </w:r>
      <w:r w:rsidRPr="00372E35">
        <w:rPr>
          <w:rFonts w:ascii="Arial" w:hAnsi="Arial" w:cs="Arial"/>
          <w:b/>
          <w:color w:val="000000" w:themeColor="text1"/>
        </w:rPr>
        <w:t>:</w:t>
      </w:r>
      <w:r w:rsidRPr="00372E35">
        <w:rPr>
          <w:rFonts w:ascii="Arial" w:hAnsi="Arial" w:cs="Arial"/>
          <w:color w:val="000000" w:themeColor="text1"/>
        </w:rPr>
        <w:t xml:space="preserve">  </w:t>
      </w:r>
    </w:p>
    <w:p w14:paraId="73C6A5D3" w14:textId="77777777" w:rsidR="00372E35" w:rsidRPr="00D218B9" w:rsidRDefault="00372E35" w:rsidP="00372E35">
      <w:pPr>
        <w:spacing w:after="0" w:line="240" w:lineRule="auto"/>
        <w:ind w:left="720"/>
        <w:rPr>
          <w:rFonts w:ascii="Arial" w:hAnsi="Arial" w:cs="Arial"/>
        </w:rPr>
      </w:pPr>
    </w:p>
    <w:p w14:paraId="26D487C4" w14:textId="6C00ADAF" w:rsidR="00372E35" w:rsidRPr="00372E35"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sidRPr="00372E35">
        <w:rPr>
          <w:rFonts w:ascii="Arial" w:hAnsi="Arial" w:cs="Arial"/>
        </w:rPr>
        <w:t xml:space="preserve">It is useful for the IRB to know how many IRBs are involved in the project, </w:t>
      </w:r>
      <w:r>
        <w:rPr>
          <w:rFonts w:ascii="Arial" w:hAnsi="Arial" w:cs="Arial"/>
        </w:rPr>
        <w:t xml:space="preserve">if IRB Reliance Agreements are in place, </w:t>
      </w:r>
      <w:r w:rsidRPr="00372E35">
        <w:rPr>
          <w:rFonts w:ascii="Arial" w:hAnsi="Arial" w:cs="Arial"/>
        </w:rPr>
        <w:t>and what redundancies may exist in the review process.  We need to know which IRBs have Federal Wide Assurances with the U.S. Government (see the OHRP website for IRBs that have FWAs).  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7EA3CB2C" w14:textId="46DCC37A"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26"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 xml:space="preserve">).  </w:t>
      </w:r>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w:t>
      </w:r>
      <w:r w:rsidR="00372E35">
        <w:rPr>
          <w:rFonts w:ascii="Arial" w:hAnsi="Arial" w:cs="Arial"/>
          <w:b/>
          <w:i/>
          <w:iCs/>
          <w:color w:val="000000" w:themeColor="text1"/>
        </w:rPr>
        <w:t>by</w:t>
      </w:r>
      <w:r w:rsidR="003F5ED7">
        <w:rPr>
          <w:rFonts w:ascii="Arial" w:hAnsi="Arial" w:cs="Arial"/>
          <w:b/>
          <w:i/>
          <w:iCs/>
          <w:color w:val="000000" w:themeColor="text1"/>
        </w:rPr>
        <w:t xml:space="preserve">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2E08AE71" w14:textId="77777777" w:rsidR="00372E35" w:rsidRPr="00D218B9" w:rsidRDefault="00372E35" w:rsidP="00372E35">
      <w:pPr>
        <w:spacing w:after="0" w:line="240" w:lineRule="auto"/>
        <w:ind w:left="720"/>
        <w:rPr>
          <w:rFonts w:ascii="Arial" w:hAnsi="Arial" w:cs="Arial"/>
        </w:rPr>
      </w:pPr>
    </w:p>
    <w:p w14:paraId="1E18E484" w14:textId="45D290FD" w:rsidR="00372E35" w:rsidRPr="00D218B9"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Researchers are “engaged” in human </w:t>
      </w:r>
      <w:proofErr w:type="gramStart"/>
      <w:r>
        <w:rPr>
          <w:rFonts w:ascii="Arial" w:hAnsi="Arial" w:cs="Arial"/>
        </w:rPr>
        <w:t>subjects</w:t>
      </w:r>
      <w:proofErr w:type="gramEnd"/>
      <w:r>
        <w:rPr>
          <w:rFonts w:ascii="Arial" w:hAnsi="Arial" w:cs="Arial"/>
        </w:rPr>
        <w:t xml:space="preserve"> research if they are direct federal grant recipients (even if not collecting the data), </w:t>
      </w:r>
      <w:r w:rsidR="00B66D95">
        <w:rPr>
          <w:rFonts w:ascii="Arial" w:hAnsi="Arial" w:cs="Arial"/>
        </w:rPr>
        <w:t>have direct or indirect contact with study participants, and/or are analyzing identifiable private information or biospecimens.  If “engaged”, the researcher’s activities must be overseen by an IRB/Research Ethics Committee (REC</w:t>
      </w:r>
      <w:r w:rsidR="00B66D95" w:rsidRPr="00B66D95">
        <w:rPr>
          <w:rFonts w:ascii="Arial" w:hAnsi="Arial" w:cs="Arial"/>
        </w:rPr>
        <w:t xml:space="preserve">).  </w:t>
      </w:r>
      <w:r w:rsidRPr="00B66D95">
        <w:rPr>
          <w:rFonts w:ascii="Arial" w:hAnsi="Arial" w:cs="Arial"/>
        </w:rPr>
        <w:t>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33274FA2" w14:textId="77777777" w:rsidR="00372E35" w:rsidRDefault="00372E35" w:rsidP="00AE5E78">
      <w:pPr>
        <w:spacing w:after="0" w:line="240" w:lineRule="auto"/>
        <w:ind w:left="720"/>
        <w:rPr>
          <w:rFonts w:ascii="Arial" w:hAnsi="Arial" w:cs="Arial"/>
          <w:i/>
          <w:iCs/>
          <w:color w:val="000000" w:themeColor="text1"/>
        </w:rPr>
      </w:pPr>
    </w:p>
    <w:p w14:paraId="1957CD33" w14:textId="77777777" w:rsidR="00372E35" w:rsidRDefault="00372E35" w:rsidP="00AE5E78">
      <w:pPr>
        <w:spacing w:after="0" w:line="240" w:lineRule="auto"/>
        <w:ind w:left="720"/>
        <w:rPr>
          <w:rFonts w:ascii="Arial" w:hAnsi="Arial" w:cs="Arial"/>
          <w:i/>
          <w:iCs/>
          <w:color w:val="000000" w:themeColor="text1"/>
        </w:rPr>
      </w:pPr>
    </w:p>
    <w:p w14:paraId="266A2FC1" w14:textId="77777777" w:rsidR="00372E35" w:rsidRDefault="00372E35" w:rsidP="00AE5E78">
      <w:pPr>
        <w:spacing w:after="0" w:line="240" w:lineRule="auto"/>
        <w:ind w:left="720"/>
        <w:rPr>
          <w:rFonts w:ascii="Arial" w:hAnsi="Arial" w:cs="Arial"/>
          <w:i/>
          <w:iCs/>
          <w:color w:val="000000" w:themeColor="text1"/>
        </w:rPr>
      </w:pPr>
    </w:p>
    <w:p w14:paraId="7660AABF" w14:textId="5867EFDF"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3C8D6867" w:rsidR="00F20824" w:rsidRPr="00D218B9" w:rsidRDefault="00F20824"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sidRPr="00F20824">
        <w:rPr>
          <w:rFonts w:ascii="Arial" w:hAnsi="Arial" w:cs="Arial"/>
        </w:rPr>
        <w:t xml:space="preserve">JHSPH students are not faculty, thus the IRB needs to know how the faculty PI will ensure that the research will proceed in accordance with IRB approval.  Please read the guidance posted on the IRB website, “What am I agreeing to do when I become a Principal Investigator on a JHSPH IRB protocol?” (see: </w:t>
      </w:r>
      <w:hyperlink r:id="rId27" w:history="1">
        <w:r w:rsidR="0020130B" w:rsidRPr="0029525E">
          <w:rPr>
            <w:rStyle w:val="Hyperlink"/>
          </w:rPr>
          <w:t>https://www.jhsph.edu/offices-and-services/institutional-review-board/_pdfs-and-docs/pi-responsibilities-final-2010-01-21.pdf</w:t>
        </w:r>
      </w:hyperlink>
      <w:r w:rsidR="0020130B">
        <w:t xml:space="preserve"> </w:t>
      </w:r>
      <w:r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r w:rsidR="00EF482A" w:rsidRPr="00775854">
        <w:rPr>
          <w:rFonts w:ascii="Arial" w:hAnsi="Arial" w:cs="Arial"/>
          <w:i/>
          <w:iCs/>
          <w:color w:val="000000" w:themeColor="text1"/>
        </w:rPr>
        <w:t>.  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specimens, or may remain after the primary study intervention is completed.  In either case, the policies and procedures associated with the management, distribution, and use of those biospecimens must be clear to the IRB.  The IRB is responsible for ensuring that participants understand how their specimens may be used and by whom, what risks are associated with those uses, and how those decisions will be made. They also need to know how they may withdraw consent later if they so decide.  </w:t>
      </w:r>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5BC9DAC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Complete if JHSPH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00366D10"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JHSPH.  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  The responsibilities of the DCC are significant, and the PI must explain the distribution of duties associated with this aspect of a study.  Once a data coordinating center application is reviewed and approved, an IRB may consider the risks to participants associated with the study at the DCC site to be minimal, since no participants will be exposed to the study intervention at the DCC site.  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procedures be developed?  </w:t>
      </w:r>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r w:rsidRPr="00775854">
        <w:rPr>
          <w:rFonts w:ascii="Arial" w:hAnsi="Arial" w:cs="Arial"/>
          <w:i/>
          <w:iCs/>
          <w:color w:val="000000" w:themeColor="text1"/>
        </w:rPr>
        <w:t>?  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this section if your study involves a drug, botanical, food, dietary </w:t>
      </w:r>
      <w:proofErr w:type="gramStart"/>
      <w:r w:rsidRPr="00775854">
        <w:rPr>
          <w:rFonts w:ascii="Arial" w:hAnsi="Arial" w:cs="Arial"/>
          <w:i/>
          <w:iCs/>
          <w:color w:val="000000" w:themeColor="text1"/>
        </w:rPr>
        <w:t>supplement</w:t>
      </w:r>
      <w:proofErr w:type="gramEnd"/>
      <w:r w:rsidRPr="00775854">
        <w:rPr>
          <w:rFonts w:ascii="Arial" w:hAnsi="Arial" w:cs="Arial"/>
          <w:i/>
          <w:iCs/>
          <w:color w:val="000000" w:themeColor="text1"/>
        </w:rPr>
        <w:t xml:space="preserve">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  Some of these products will fall within the regulatory jurisdiction of the FDA or international regulatory authorities.  Provide any information available about guidelines you are following, such as WHO guidelines, or about the regulatory approval, including importation if relevant, status of the product.  Provide also clear information about what is standard care in the study site, and whether the drug regimen selected for the study is consistent with, or departs from, standard care.  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t>If your study product has an Investigational New Drug (IND) application through the U.S. Food and 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proofErr w:type="gramStart"/>
      <w:r w:rsidR="00C32CE6" w:rsidRPr="00775854">
        <w:rPr>
          <w:rFonts w:ascii="Arial" w:hAnsi="Arial" w:cs="Arial"/>
          <w:i/>
          <w:iCs/>
          <w:color w:val="000000" w:themeColor="text1"/>
        </w:rPr>
        <w:t>documentation</w:t>
      </w:r>
      <w:proofErr w:type="gramEnd"/>
      <w:r w:rsidR="00C32CE6" w:rsidRPr="00775854">
        <w:rPr>
          <w:rFonts w:ascii="Arial" w:hAnsi="Arial" w:cs="Arial"/>
          <w:i/>
          <w:iCs/>
          <w:color w:val="000000" w:themeColor="text1"/>
        </w:rPr>
        <w:t xml:space="preserve">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28"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21D4211F" w:rsidR="00910DFF" w:rsidRDefault="00025B41" w:rsidP="00DA61A0">
      <w:pPr>
        <w:spacing w:before="240" w:after="60"/>
        <w:ind w:left="360" w:hanging="450"/>
        <w:rPr>
          <w:rFonts w:ascii="Arial" w:hAnsi="Arial" w:cs="Arial"/>
          <w:b/>
          <w:color w:val="000000" w:themeColor="text1"/>
          <w:u w:val="single"/>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20130B">
        <w:rPr>
          <w:rFonts w:ascii="Arial" w:hAnsi="Arial" w:cs="Arial"/>
          <w:b/>
          <w:color w:val="000000" w:themeColor="text1"/>
        </w:rPr>
        <w:t>:</w:t>
      </w:r>
    </w:p>
    <w:p w14:paraId="6207549D" w14:textId="77777777" w:rsidR="0020130B" w:rsidRPr="00321F51" w:rsidRDefault="0020130B" w:rsidP="00DA61A0">
      <w:pPr>
        <w:spacing w:before="240" w:after="60"/>
        <w:ind w:left="360" w:hanging="450"/>
        <w:rPr>
          <w:rFonts w:ascii="Arial" w:hAnsi="Arial" w:cs="Arial"/>
          <w:color w:val="000000" w:themeColor="text1"/>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bandaids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  For federally funded studies, and studies conducted in the United States, investigational devices fall under the FDA device regulations.  Devices used in other countries must follow local laws and regulations.  </w:t>
      </w:r>
    </w:p>
    <w:p w14:paraId="146B863E" w14:textId="77777777" w:rsidR="0020130B" w:rsidRDefault="0020130B" w:rsidP="0020130B">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an approved or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xml:space="preserve">, non-significant risk, significant risk).  </w:t>
      </w:r>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and whether or not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 xml:space="preserve">Provide product information.  </w:t>
      </w:r>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status</w:t>
      </w:r>
      <w:r w:rsidR="00DA61A0" w:rsidRPr="00775854">
        <w:rPr>
          <w:rFonts w:ascii="Arial" w:hAnsi="Arial" w:cs="Arial"/>
          <w:i/>
          <w:iCs/>
          <w:color w:val="000000" w:themeColor="text1"/>
        </w:rPr>
        <w:t xml:space="preserve"> as approved by a government authority or not 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775854">
        <w:rPr>
          <w:rFonts w:ascii="Arial" w:hAnsi="Arial" w:cs="Arial"/>
          <w:b/>
          <w:i/>
          <w:iCs/>
          <w:color w:val="000000" w:themeColor="text1"/>
        </w:rPr>
        <w:t>diagnostic device</w:t>
      </w:r>
      <w:r w:rsidRPr="00775854">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21CFR 812.2(c)</w:t>
      </w:r>
      <w:r w:rsidRPr="00775854">
        <w:rPr>
          <w:rFonts w:ascii="Arial" w:hAnsi="Arial" w:cs="Arial"/>
          <w:i/>
          <w:iCs/>
          <w:color w:val="000000" w:themeColor="text1"/>
        </w:rPr>
        <w:t>, but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F6700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6299" w14:textId="77777777" w:rsidR="00372E35" w:rsidRDefault="00372E35" w:rsidP="00A008AE">
      <w:pPr>
        <w:spacing w:after="0" w:line="240" w:lineRule="auto"/>
      </w:pPr>
      <w:r>
        <w:separator/>
      </w:r>
    </w:p>
  </w:endnote>
  <w:endnote w:type="continuationSeparator" w:id="0">
    <w:p w14:paraId="3B7207FF" w14:textId="77777777" w:rsidR="00372E35" w:rsidRDefault="00372E35"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FDE13F2" w:rsidR="00372E35" w:rsidRPr="00146EA0" w:rsidRDefault="00372E35">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AB91" w14:textId="77777777" w:rsidR="00372E35" w:rsidRDefault="00372E35" w:rsidP="00A008AE">
      <w:pPr>
        <w:spacing w:after="0" w:line="240" w:lineRule="auto"/>
      </w:pPr>
      <w:r>
        <w:separator/>
      </w:r>
    </w:p>
  </w:footnote>
  <w:footnote w:type="continuationSeparator" w:id="0">
    <w:p w14:paraId="266F1D01" w14:textId="77777777" w:rsidR="00372E35" w:rsidRDefault="00372E35"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C02" w14:textId="065E7058" w:rsidR="00C52D36" w:rsidRPr="00C52D36" w:rsidRDefault="00C52D36">
    <w:pPr>
      <w:pStyle w:val="Header"/>
      <w:rPr>
        <w:rFonts w:ascii="Arial" w:hAnsi="Arial" w:cs="Arial"/>
        <w:b/>
        <w:bCs/>
        <w:sz w:val="24"/>
        <w:szCs w:val="24"/>
      </w:rPr>
    </w:pPr>
    <w:r>
      <w:tab/>
      <w:t xml:space="preserve">                </w:t>
    </w:r>
  </w:p>
  <w:p w14:paraId="2F986F48" w14:textId="77777777" w:rsidR="00372E35" w:rsidRDefault="00372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372E35" w:rsidRDefault="00372E35"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372E35" w:rsidRDefault="0037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249108">
    <w:abstractNumId w:val="13"/>
  </w:num>
  <w:num w:numId="2" w16cid:durableId="1570455944">
    <w:abstractNumId w:val="18"/>
  </w:num>
  <w:num w:numId="3" w16cid:durableId="1338114224">
    <w:abstractNumId w:val="26"/>
  </w:num>
  <w:num w:numId="4" w16cid:durableId="570653573">
    <w:abstractNumId w:val="27"/>
  </w:num>
  <w:num w:numId="5" w16cid:durableId="712196844">
    <w:abstractNumId w:val="32"/>
  </w:num>
  <w:num w:numId="6" w16cid:durableId="1317999067">
    <w:abstractNumId w:val="1"/>
  </w:num>
  <w:num w:numId="7" w16cid:durableId="1049262310">
    <w:abstractNumId w:val="2"/>
  </w:num>
  <w:num w:numId="8" w16cid:durableId="644630608">
    <w:abstractNumId w:val="16"/>
  </w:num>
  <w:num w:numId="9" w16cid:durableId="975449821">
    <w:abstractNumId w:val="31"/>
  </w:num>
  <w:num w:numId="10" w16cid:durableId="68040823">
    <w:abstractNumId w:val="3"/>
  </w:num>
  <w:num w:numId="11" w16cid:durableId="1141849548">
    <w:abstractNumId w:val="19"/>
  </w:num>
  <w:num w:numId="12" w16cid:durableId="186599921">
    <w:abstractNumId w:val="22"/>
  </w:num>
  <w:num w:numId="13" w16cid:durableId="2065787703">
    <w:abstractNumId w:val="5"/>
  </w:num>
  <w:num w:numId="14" w16cid:durableId="2063484659">
    <w:abstractNumId w:val="20"/>
  </w:num>
  <w:num w:numId="15" w16cid:durableId="159546242">
    <w:abstractNumId w:val="0"/>
  </w:num>
  <w:num w:numId="16" w16cid:durableId="1599101469">
    <w:abstractNumId w:val="29"/>
  </w:num>
  <w:num w:numId="17" w16cid:durableId="1358265311">
    <w:abstractNumId w:val="12"/>
  </w:num>
  <w:num w:numId="18" w16cid:durableId="1557160479">
    <w:abstractNumId w:val="15"/>
  </w:num>
  <w:num w:numId="19" w16cid:durableId="79301369">
    <w:abstractNumId w:val="9"/>
  </w:num>
  <w:num w:numId="20" w16cid:durableId="1295600522">
    <w:abstractNumId w:val="21"/>
  </w:num>
  <w:num w:numId="21" w16cid:durableId="634720634">
    <w:abstractNumId w:val="14"/>
  </w:num>
  <w:num w:numId="22" w16cid:durableId="619411015">
    <w:abstractNumId w:val="33"/>
  </w:num>
  <w:num w:numId="23" w16cid:durableId="1915892841">
    <w:abstractNumId w:val="10"/>
  </w:num>
  <w:num w:numId="24" w16cid:durableId="999427281">
    <w:abstractNumId w:val="34"/>
  </w:num>
  <w:num w:numId="25" w16cid:durableId="2135100276">
    <w:abstractNumId w:val="28"/>
  </w:num>
  <w:num w:numId="26" w16cid:durableId="2007857797">
    <w:abstractNumId w:val="25"/>
  </w:num>
  <w:num w:numId="27" w16cid:durableId="697203109">
    <w:abstractNumId w:val="24"/>
  </w:num>
  <w:num w:numId="28" w16cid:durableId="287245692">
    <w:abstractNumId w:val="7"/>
  </w:num>
  <w:num w:numId="29" w16cid:durableId="164901687">
    <w:abstractNumId w:val="4"/>
  </w:num>
  <w:num w:numId="30" w16cid:durableId="1435590159">
    <w:abstractNumId w:val="30"/>
  </w:num>
  <w:num w:numId="31" w16cid:durableId="1469319120">
    <w:abstractNumId w:val="11"/>
  </w:num>
  <w:num w:numId="32" w16cid:durableId="1966960771">
    <w:abstractNumId w:val="6"/>
  </w:num>
  <w:num w:numId="33" w16cid:durableId="340355011">
    <w:abstractNumId w:val="8"/>
  </w:num>
  <w:num w:numId="34" w16cid:durableId="178588623">
    <w:abstractNumId w:val="17"/>
  </w:num>
  <w:num w:numId="35" w16cid:durableId="44396697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ke7HpAgr6SmX/BrVkU9kmU2xDMEWfP9r+8oiOC9qNe+w0wrkXAx3vscq7Jd9ZL7IY6pftvzZwBBDFr+r7Aagsg==" w:salt="wHTUeODvQfRAp0qRGBoXdA=="/>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130B"/>
    <w:rsid w:val="00202274"/>
    <w:rsid w:val="0021234F"/>
    <w:rsid w:val="002223E3"/>
    <w:rsid w:val="002241B8"/>
    <w:rsid w:val="002258B6"/>
    <w:rsid w:val="00225D5E"/>
    <w:rsid w:val="00230D98"/>
    <w:rsid w:val="00232644"/>
    <w:rsid w:val="00235C93"/>
    <w:rsid w:val="002451A1"/>
    <w:rsid w:val="00253C9C"/>
    <w:rsid w:val="00254A7F"/>
    <w:rsid w:val="00257ED6"/>
    <w:rsid w:val="002659C9"/>
    <w:rsid w:val="00266313"/>
    <w:rsid w:val="002678ED"/>
    <w:rsid w:val="00267D57"/>
    <w:rsid w:val="00270B72"/>
    <w:rsid w:val="00271AF9"/>
    <w:rsid w:val="00275DDC"/>
    <w:rsid w:val="00275FE9"/>
    <w:rsid w:val="002800F8"/>
    <w:rsid w:val="002863EA"/>
    <w:rsid w:val="002A040E"/>
    <w:rsid w:val="002A2FE2"/>
    <w:rsid w:val="002B00BE"/>
    <w:rsid w:val="002C3135"/>
    <w:rsid w:val="002C37C0"/>
    <w:rsid w:val="002C4BE4"/>
    <w:rsid w:val="002D157D"/>
    <w:rsid w:val="002D649E"/>
    <w:rsid w:val="002E0CB7"/>
    <w:rsid w:val="002E3360"/>
    <w:rsid w:val="002E6AB1"/>
    <w:rsid w:val="002F1D6B"/>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72E35"/>
    <w:rsid w:val="003812F6"/>
    <w:rsid w:val="00381386"/>
    <w:rsid w:val="00387A6F"/>
    <w:rsid w:val="00391E21"/>
    <w:rsid w:val="0039321E"/>
    <w:rsid w:val="00395D1E"/>
    <w:rsid w:val="00397B36"/>
    <w:rsid w:val="003A3449"/>
    <w:rsid w:val="003A396E"/>
    <w:rsid w:val="003A7252"/>
    <w:rsid w:val="003B27BD"/>
    <w:rsid w:val="003B4669"/>
    <w:rsid w:val="003C0810"/>
    <w:rsid w:val="003C11A8"/>
    <w:rsid w:val="003C66FD"/>
    <w:rsid w:val="003D396B"/>
    <w:rsid w:val="003D5FBE"/>
    <w:rsid w:val="003F1580"/>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4E1F"/>
    <w:rsid w:val="00507439"/>
    <w:rsid w:val="00511332"/>
    <w:rsid w:val="00517595"/>
    <w:rsid w:val="00526F03"/>
    <w:rsid w:val="00531C94"/>
    <w:rsid w:val="00534025"/>
    <w:rsid w:val="00546D79"/>
    <w:rsid w:val="005544DE"/>
    <w:rsid w:val="0055730E"/>
    <w:rsid w:val="005700E4"/>
    <w:rsid w:val="00572732"/>
    <w:rsid w:val="00582AFA"/>
    <w:rsid w:val="005904AD"/>
    <w:rsid w:val="005A1B84"/>
    <w:rsid w:val="005A1DB8"/>
    <w:rsid w:val="005A4A7A"/>
    <w:rsid w:val="005B18FB"/>
    <w:rsid w:val="005B26A1"/>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67C6"/>
    <w:rsid w:val="0070706B"/>
    <w:rsid w:val="00710258"/>
    <w:rsid w:val="007371C9"/>
    <w:rsid w:val="007411E4"/>
    <w:rsid w:val="00744A79"/>
    <w:rsid w:val="00744DAB"/>
    <w:rsid w:val="00747EC2"/>
    <w:rsid w:val="00760949"/>
    <w:rsid w:val="00761DC2"/>
    <w:rsid w:val="00766C27"/>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26711"/>
    <w:rsid w:val="00826A2C"/>
    <w:rsid w:val="0082747A"/>
    <w:rsid w:val="00827EF7"/>
    <w:rsid w:val="00833DF9"/>
    <w:rsid w:val="00835076"/>
    <w:rsid w:val="00837ADE"/>
    <w:rsid w:val="00842A66"/>
    <w:rsid w:val="00847F6D"/>
    <w:rsid w:val="008500DB"/>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DFF"/>
    <w:rsid w:val="009140A8"/>
    <w:rsid w:val="0092018D"/>
    <w:rsid w:val="00925B10"/>
    <w:rsid w:val="009365C5"/>
    <w:rsid w:val="00937FCB"/>
    <w:rsid w:val="00941754"/>
    <w:rsid w:val="009421E5"/>
    <w:rsid w:val="009447B0"/>
    <w:rsid w:val="009502C6"/>
    <w:rsid w:val="00955C83"/>
    <w:rsid w:val="009571CD"/>
    <w:rsid w:val="00960EDC"/>
    <w:rsid w:val="009610C3"/>
    <w:rsid w:val="00962D1E"/>
    <w:rsid w:val="00965DD4"/>
    <w:rsid w:val="00972131"/>
    <w:rsid w:val="00972354"/>
    <w:rsid w:val="00974DEB"/>
    <w:rsid w:val="0097531E"/>
    <w:rsid w:val="00990A8E"/>
    <w:rsid w:val="00991D03"/>
    <w:rsid w:val="009A15C0"/>
    <w:rsid w:val="009A6AEC"/>
    <w:rsid w:val="009A706A"/>
    <w:rsid w:val="009B2F56"/>
    <w:rsid w:val="009B4327"/>
    <w:rsid w:val="009B6B1C"/>
    <w:rsid w:val="009D0C09"/>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6A5B"/>
    <w:rsid w:val="00AA1AF7"/>
    <w:rsid w:val="00AB0A2C"/>
    <w:rsid w:val="00AB1ECF"/>
    <w:rsid w:val="00AB76E7"/>
    <w:rsid w:val="00AC3128"/>
    <w:rsid w:val="00AD5CB9"/>
    <w:rsid w:val="00AE1DA1"/>
    <w:rsid w:val="00AE5BDA"/>
    <w:rsid w:val="00AE5E78"/>
    <w:rsid w:val="00AE75A2"/>
    <w:rsid w:val="00AE7B44"/>
    <w:rsid w:val="00AF097C"/>
    <w:rsid w:val="00AF51D1"/>
    <w:rsid w:val="00B004F7"/>
    <w:rsid w:val="00B0616C"/>
    <w:rsid w:val="00B12E4C"/>
    <w:rsid w:val="00B14C26"/>
    <w:rsid w:val="00B151A4"/>
    <w:rsid w:val="00B20F09"/>
    <w:rsid w:val="00B34F9F"/>
    <w:rsid w:val="00B40347"/>
    <w:rsid w:val="00B50254"/>
    <w:rsid w:val="00B51A35"/>
    <w:rsid w:val="00B57380"/>
    <w:rsid w:val="00B61464"/>
    <w:rsid w:val="00B6263D"/>
    <w:rsid w:val="00B66D95"/>
    <w:rsid w:val="00B70758"/>
    <w:rsid w:val="00B72159"/>
    <w:rsid w:val="00B7297E"/>
    <w:rsid w:val="00B745CE"/>
    <w:rsid w:val="00B818BF"/>
    <w:rsid w:val="00B82454"/>
    <w:rsid w:val="00B84B3B"/>
    <w:rsid w:val="00BA1ADE"/>
    <w:rsid w:val="00BB0559"/>
    <w:rsid w:val="00BB3ADA"/>
    <w:rsid w:val="00BC082A"/>
    <w:rsid w:val="00BC37B4"/>
    <w:rsid w:val="00BE1F5D"/>
    <w:rsid w:val="00BF306C"/>
    <w:rsid w:val="00C027CB"/>
    <w:rsid w:val="00C0547A"/>
    <w:rsid w:val="00C07DD6"/>
    <w:rsid w:val="00C176CE"/>
    <w:rsid w:val="00C237C2"/>
    <w:rsid w:val="00C23AD4"/>
    <w:rsid w:val="00C268AF"/>
    <w:rsid w:val="00C32CE6"/>
    <w:rsid w:val="00C402CA"/>
    <w:rsid w:val="00C47A57"/>
    <w:rsid w:val="00C513D9"/>
    <w:rsid w:val="00C52115"/>
    <w:rsid w:val="00C525EA"/>
    <w:rsid w:val="00C52D36"/>
    <w:rsid w:val="00C558C1"/>
    <w:rsid w:val="00C630A2"/>
    <w:rsid w:val="00C736D3"/>
    <w:rsid w:val="00C75C3A"/>
    <w:rsid w:val="00C762CB"/>
    <w:rsid w:val="00C80609"/>
    <w:rsid w:val="00C80E22"/>
    <w:rsid w:val="00C9099D"/>
    <w:rsid w:val="00C90B52"/>
    <w:rsid w:val="00CA02D2"/>
    <w:rsid w:val="00CA726C"/>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94D81"/>
    <w:rsid w:val="00E975B8"/>
    <w:rsid w:val="00E97F9D"/>
    <w:rsid w:val="00EA3A2D"/>
    <w:rsid w:val="00EA50BF"/>
    <w:rsid w:val="00EB3808"/>
    <w:rsid w:val="00EB51C5"/>
    <w:rsid w:val="00EC0F6C"/>
    <w:rsid w:val="00EC2300"/>
    <w:rsid w:val="00EE2377"/>
    <w:rsid w:val="00EE424C"/>
    <w:rsid w:val="00EE62AD"/>
    <w:rsid w:val="00EF2E54"/>
    <w:rsid w:val="00EF482A"/>
    <w:rsid w:val="00F011BE"/>
    <w:rsid w:val="00F01B9E"/>
    <w:rsid w:val="00F02EF0"/>
    <w:rsid w:val="00F04575"/>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hyperlink" Target="https://my.jhsph.edu/Offices/InformationTechnology/ComputerSupport/SharedFolders/OneDrive-JHSPH/Documents/JHSPHGuidanceRegardingOneDriveSharing.pdf" TargetMode="External"/><Relationship Id="rId26" Type="http://schemas.openxmlformats.org/officeDocument/2006/relationships/hyperlink" Target="http://www.hhs.gov/ohrp/assurances" TargetMode="External"/><Relationship Id="rId3" Type="http://schemas.openxmlformats.org/officeDocument/2006/relationships/customXml" Target="../customXml/item3.xml"/><Relationship Id="rId21" Type="http://schemas.openxmlformats.org/officeDocument/2006/relationships/hyperlink" Target="https://humansubjects.nih.gov/coc/index" TargetMode="Externa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hyperlink" Target="https://www.jhsph.edu/offices-and-services/institutional-review-board/_pdfs-and-docs/JHU_Guidance_Regarding_Security_of_Custom_Developed_Mobile_and_Web_Applications.docx2.pdf" TargetMode="External"/><Relationship Id="rId25"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hsph_cybersecurity@jhu.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https://www.nimh.nih.gov/funding/clinical-research/nimh-policy-governing-the-monitoring-of-clinical-trial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mailto:housecall@jhu.edu" TargetMode="External"/><Relationship Id="rId28" Type="http://schemas.openxmlformats.org/officeDocument/2006/relationships/hyperlink" Target="https://publichealth.jhu.edu/offices-and-services/institutional-review-board-irb/forms" TargetMode="External"/><Relationship Id="rId10" Type="http://schemas.openxmlformats.org/officeDocument/2006/relationships/endnotes" Target="endnotes.xml"/><Relationship Id="rId19" Type="http://schemas.openxmlformats.org/officeDocument/2006/relationships/hyperlink" Target="https://my.jhsph.edu/Offices/InformationTechnology/ComputerSupport/SharedFolders/jhsph-shares/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publichealth.jhu.edu/offices-and-services/institutional-review-board-irb/training" TargetMode="External"/><Relationship Id="rId27" Type="http://schemas.openxmlformats.org/officeDocument/2006/relationships/hyperlink" Target="https://www.jhsph.edu/offices-and-services/institutional-review-board/_pdfs-and-docs/pi-responsibilities-final-2010-01-21.pdf"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B2"/>
    <w:rsid w:val="00197DB2"/>
    <w:rsid w:val="006E1342"/>
    <w:rsid w:val="00A5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2" ma:contentTypeDescription="Create a new document." ma:contentTypeScope="" ma:versionID="551544777378924dce840d1e84e8de09">
  <xsd:schema xmlns:xsd="http://www.w3.org/2001/XMLSchema" xmlns:xs="http://www.w3.org/2001/XMLSchema" xmlns:p="http://schemas.microsoft.com/office/2006/metadata/properties" xmlns:ns2="2c684285-b16b-4508-a322-45ba4b5411ce" targetNamespace="http://schemas.microsoft.com/office/2006/metadata/properties" ma:root="true" ma:fieldsID="4f775a92cc5668651e3265512430d283" ns2:_="">
    <xsd:import namespace="2c684285-b16b-4508-a322-45ba4b541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2C298-7C63-4F8E-85F7-140A7EC39AAA}">
  <ds:schemaRefs>
    <ds:schemaRef ds:uri="http://schemas.openxmlformats.org/officeDocument/2006/bibliography"/>
  </ds:schemaRefs>
</ds:datastoreItem>
</file>

<file path=customXml/itemProps2.xml><?xml version="1.0" encoding="utf-8"?>
<ds:datastoreItem xmlns:ds="http://schemas.openxmlformats.org/officeDocument/2006/customXml" ds:itemID="{B67455FF-8403-4DD1-8DCF-ACD30343D416}">
  <ds:schemaRefs>
    <ds:schemaRef ds:uri="http://purl.org/dc/terms/"/>
    <ds:schemaRef ds:uri="http://schemas.microsoft.com/office/2006/documentManagement/types"/>
    <ds:schemaRef ds:uri="2c684285-b16b-4508-a322-45ba4b5411c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4.xml><?xml version="1.0" encoding="utf-8"?>
<ds:datastoreItem xmlns:ds="http://schemas.openxmlformats.org/officeDocument/2006/customXml" ds:itemID="{E020426D-4EA8-42A5-AA9D-2E5B80E0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12011</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80314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2023-09-07T19:26:00Z</dcterms:created>
  <dcterms:modified xsi:type="dcterms:W3CDTF">2023-09-07T19:26:00Z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