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34D434F8" w:rsidR="006F480B" w:rsidRPr="00507439" w:rsidRDefault="00651CEB" w:rsidP="00526F03">
      <w:pPr>
        <w:spacing w:after="0"/>
        <w:jc w:val="center"/>
        <w:rPr>
          <w:rFonts w:ascii="Arial" w:hAnsi="Arial" w:cs="Arial"/>
          <w:b/>
          <w:sz w:val="24"/>
          <w:szCs w:val="24"/>
        </w:rPr>
      </w:pPr>
      <w:r w:rsidRPr="00507439">
        <w:rPr>
          <w:rFonts w:ascii="Arial" w:hAnsi="Arial" w:cs="Arial"/>
          <w:b/>
          <w:sz w:val="24"/>
          <w:szCs w:val="24"/>
        </w:rPr>
        <w:t xml:space="preserve">INSTRUCTIONAL TEMPLATE: </w:t>
      </w:r>
      <w:r w:rsidR="00E26F75" w:rsidRPr="00507439">
        <w:rPr>
          <w:rFonts w:ascii="Arial" w:hAnsi="Arial" w:cs="Arial"/>
          <w:b/>
          <w:sz w:val="24"/>
          <w:szCs w:val="24"/>
        </w:rPr>
        <w:t xml:space="preserve">JHSPH IRB Research Plan for </w:t>
      </w:r>
      <w:r w:rsidR="002659C9" w:rsidRPr="00507439">
        <w:rPr>
          <w:rFonts w:ascii="Arial" w:hAnsi="Arial" w:cs="Arial"/>
          <w:b/>
          <w:sz w:val="24"/>
          <w:szCs w:val="24"/>
        </w:rPr>
        <w:t xml:space="preserve">New </w:t>
      </w:r>
      <w:r w:rsidR="00E26F75" w:rsidRPr="00507439">
        <w:rPr>
          <w:rFonts w:ascii="Arial" w:hAnsi="Arial" w:cs="Arial"/>
          <w:b/>
          <w:sz w:val="24"/>
          <w:szCs w:val="24"/>
        </w:rPr>
        <w:t>Data Collection</w:t>
      </w:r>
    </w:p>
    <w:p w14:paraId="7F8FE094" w14:textId="6D5B5D86" w:rsidR="00526F03" w:rsidRPr="00526F03" w:rsidRDefault="00E31C1F" w:rsidP="00526F03">
      <w:pPr>
        <w:spacing w:after="0"/>
        <w:jc w:val="center"/>
        <w:rPr>
          <w:rFonts w:ascii="Arial" w:hAnsi="Arial" w:cs="Arial"/>
          <w:bCs/>
          <w:i/>
          <w:iCs/>
          <w:sz w:val="18"/>
          <w:szCs w:val="18"/>
        </w:rPr>
      </w:pPr>
      <w:r>
        <w:rPr>
          <w:rFonts w:ascii="Arial" w:hAnsi="Arial" w:cs="Arial"/>
          <w:bCs/>
          <w:i/>
          <w:iCs/>
          <w:sz w:val="18"/>
          <w:szCs w:val="18"/>
        </w:rPr>
        <w:t>7Oct2021</w:t>
      </w:r>
    </w:p>
    <w:p w14:paraId="0D16F160" w14:textId="49C5BA53"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000DC8E1" w:rsidR="00507439" w:rsidRPr="00270B72" w:rsidRDefault="00507439" w:rsidP="00507439">
            <w:pPr>
              <w:jc w:val="center"/>
              <w:rPr>
                <w:rFonts w:ascii="Arial" w:hAnsi="Arial" w:cs="Arial"/>
                <w:i/>
              </w:rPr>
            </w:pPr>
            <w:r>
              <w:rPr>
                <w:rFonts w:ascii="Arial" w:hAnsi="Arial" w:cs="Arial"/>
                <w:i/>
              </w:rPr>
              <w:t xml:space="preserve">For </w:t>
            </w:r>
            <w:r w:rsidR="00C8766F">
              <w:rPr>
                <w:rFonts w:ascii="Arial" w:hAnsi="Arial" w:cs="Arial"/>
                <w:i/>
              </w:rPr>
              <w:t>all studies except those limited to secondary data analysis</w:t>
            </w:r>
          </w:p>
        </w:tc>
      </w:tr>
    </w:tbl>
    <w:p w14:paraId="0B3A4C1C" w14:textId="568683BF" w:rsidR="00507439" w:rsidRDefault="00507439" w:rsidP="00526F03">
      <w:pPr>
        <w:spacing w:after="0"/>
        <w:jc w:val="center"/>
        <w:rPr>
          <w:rFonts w:ascii="Arial" w:hAnsi="Arial" w:cs="Arial"/>
          <w:b/>
        </w:rPr>
      </w:pPr>
    </w:p>
    <w:p w14:paraId="447A54EE" w14:textId="178CA626" w:rsidR="00C8766F" w:rsidRDefault="00C8766F"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Pr>
          <w:rFonts w:ascii="Arial" w:hAnsi="Arial" w:cs="Arial"/>
          <w:b/>
        </w:rPr>
        <w:t xml:space="preserve">Clearly state </w:t>
      </w:r>
      <w:r w:rsidR="00651CEB" w:rsidRPr="00E84BC0">
        <w:rPr>
          <w:rFonts w:ascii="Arial" w:hAnsi="Arial" w:cs="Arial"/>
          <w:b/>
        </w:rPr>
        <w:t>your research objectives, scientific rationale behind those objectives, and the scientific methods for achieving those objectives</w:t>
      </w:r>
    </w:p>
    <w:p w14:paraId="00A834D5" w14:textId="5A533C3B"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In particular, provide specific details about how human participants will be involved in the research activity from recruitment through follow up (if applicable) without any missing links</w:t>
      </w:r>
    </w:p>
    <w:p w14:paraId="3FC90F3B" w14:textId="27B5E925"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Include references to documentation, including consent forms, assent scripts, oral scripts, telephone scripts, letters, etc. that will be used to communicate with participants.  </w:t>
      </w:r>
    </w:p>
    <w:p w14:paraId="5D4BA456"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Address the protections that the PI will put into place to ensure the safety and welfare of the study participants, including those who are vulnerable and need added protections.  </w:t>
      </w:r>
    </w:p>
    <w:p w14:paraId="3D5C1CDB"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Clarify the role of the JHSPH investigators and their collaborators, and confirm that each person who will obtain informed consent or collect data from participants will be trained in human subjects research ethics.  </w:t>
      </w:r>
    </w:p>
    <w:p w14:paraId="2AFA80DB" w14:textId="39EC67EF" w:rsidR="00651CEB" w:rsidRPr="00E84BC0" w:rsidRDefault="00651CEB" w:rsidP="00E84BC0">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The responsibility of the PI continues throughout the course of the study from development through implementation and manuscript writing; provide the requested details about study oversight and management, including data sharing and security through the life of the data. </w:t>
      </w: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 xml:space="preserve">Each aim/objective described in this section should be related to the background/rationale behind the study, and to the design, study population, and study procedures that will produce the data that will address each aim/objective.  </w:t>
      </w:r>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  Summarize briefly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  If this section is weak, the IRB may not be able to permit involvement of human participants, exposing them to risk or inconvenience, without the prospect of yielding useful scientific information. This is not a grant application – be concise.  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  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  The study design must relate to your stated aims/objectives.</w:t>
      </w:r>
      <w:r w:rsidR="00A0516A" w:rsidRPr="00775854">
        <w:rPr>
          <w:rFonts w:ascii="Arial" w:hAnsi="Arial" w:cs="Arial"/>
          <w:i/>
          <w:iCs/>
          <w:color w:val="000000" w:themeColor="text1"/>
        </w:rPr>
        <w:t xml:space="preserve">  </w:t>
      </w:r>
      <w:r w:rsidR="00033B12" w:rsidRPr="00775854">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w:t>
      </w:r>
      <w:r w:rsidR="00230D98" w:rsidRPr="007B6462">
        <w:rPr>
          <w:rFonts w:ascii="Arial" w:hAnsi="Arial" w:cs="Arial"/>
          <w:i/>
          <w:iCs/>
          <w:color w:val="000000" w:themeColor="text1"/>
        </w:rPr>
        <w:lastRenderedPageBreak/>
        <w:t>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  If a certain design is selected, such as a placebo-controlled randomized clinical trial, and there are ethical issues associated with that design, the PI should explain why this design was selected.  If useful, explain why one design was selected over another.  If the study involves multiple phases, explain each one clearly and how they are related.  If the new application seeks IRB approval for a first phase only, there is no need to provide all the details of subsequent phases, especially when those details may not yet be available.  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2180EC89"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 xml:space="preserve">Provide a sample size and a justification as to how you arrived at that number.  </w:t>
      </w:r>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 xml:space="preserve">The IRB must evaluate whether the research application provides adequate justification for the sample size requested.    Otherwise, two negative outcomes are more likely from the start: if the number is too low, there is a reduced likelihood that the research activity will produce a meaningful result; if too high, more human subjects will be put at risk or inconvenienced than is necessary.  The PI must explain the sample size chosen </w:t>
      </w:r>
      <w:r>
        <w:rPr>
          <w:rFonts w:ascii="Arial" w:hAnsi="Arial" w:cs="Arial"/>
        </w:rPr>
        <w:t xml:space="preserve">for each study activity </w:t>
      </w:r>
      <w:r w:rsidRPr="007A2D83">
        <w:rPr>
          <w:rFonts w:ascii="Arial" w:hAnsi="Arial" w:cs="Arial"/>
        </w:rPr>
        <w:t>and the rationale for that choice.  Since there is variation across scientific disciplines in how samples are determined, explanation of research standards or practices for specific methodologies may be helpful to provide.  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Describe the study participants and the population from which they will be drawn. </w:t>
      </w:r>
      <w:r w:rsidR="00463CB3" w:rsidRPr="00775854">
        <w:rPr>
          <w:rFonts w:ascii="Arial" w:hAnsi="Arial" w:cs="Arial"/>
          <w:i/>
          <w:iCs/>
          <w:color w:val="000000" w:themeColor="text1"/>
        </w:rPr>
        <w:t xml:space="preserve"> Specify the inclusion and exclusion criteria. </w:t>
      </w:r>
      <w:r w:rsidRPr="00775854">
        <w:rPr>
          <w:rFonts w:ascii="Arial" w:hAnsi="Arial" w:cs="Arial"/>
          <w:i/>
          <w:iCs/>
          <w:color w:val="000000" w:themeColor="text1"/>
        </w:rPr>
        <w:t xml:space="preserve"> 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t xml:space="preserve">Provide details about the population or community from which you plan to recruit your participants.  If the research involves multiple populations (for example, key informants, index participants, associates of index participants identified through snowball recruiting; or community leaders, heads of household, individual members of a household), list and describe each of them.  If an individual enrolled in a study provides identifiable private information about family members or social contacts, the IRB will consider these individuals to be secondary subjects and will evaluate the protections in place for those individuals as well.  The IRB must also evaluate whether the study population includes individuals considered to be “vulnerable”, including </w:t>
      </w:r>
      <w:r w:rsidRPr="007A2D83">
        <w:rPr>
          <w:rFonts w:ascii="Arial" w:hAnsi="Arial" w:cs="Arial"/>
        </w:rPr>
        <w:lastRenderedPageBreak/>
        <w:t>children, pregnant women, prisoners, and adults who lack capacity to consent for themselves.  These populations are subject to specific ethical and regulatory protections. Involvement of special populations, such as children who are in foster care, trigger concerns about who actually has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  Any inclusion and exclusion criteria must be consistent with the aims and objectives of the study, and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  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 xml:space="preserve">Note:  IRB oversight begins as soon as a PI obtains private information about a person for research purposes.  This means that if there is a “screening process” which determines whether individuals meet eligibility requirements, and winnows down the select population members to the desired subset, that process must be clearly explained to the IRB.  If you will interact with a potential participant for screening purposes to determine eligibility, that activity is part of the study and requires consent or a waiver of informed consent (for example, to access existing medical records), if appropriate.  </w:t>
      </w:r>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3F1580" w:rsidRPr="00775854">
        <w:rPr>
          <w:rFonts w:ascii="Arial" w:hAnsi="Arial" w:cs="Arial"/>
          <w:i/>
          <w:color w:val="000000" w:themeColor="text1"/>
          <w:u w:val="single"/>
        </w:rPr>
        <w:t xml:space="preserve">JHSPH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t xml:space="preserve">The IRB review focuses heavily on all interactions with human participants and their personal information, starting with recruitment.  This focus is more intense than what you might expect from the scientific reviewer of a grant application.  We need all the incremental details.  </w:t>
      </w:r>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  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r w:rsidRPr="00A0298D">
        <w:rPr>
          <w:rFonts w:ascii="Arial" w:hAnsi="Arial" w:cs="Arial"/>
        </w:rPr>
        <w:t xml:space="preserve">.  The IRB needs to know all the details about the recruitment plan: who will communicate about the study, where will that communication take place, and through what mechanism(s).  How will potential subjects be able to respond to those communications, and who will receive those inquiries? How will this process integrate with the informed consent process?  </w:t>
      </w:r>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  The PI must address this issue, and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r w:rsidR="00463CB3" w:rsidRPr="00775854">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etc.  The IRB must examine and approve each material, in English, and must also understand and approve the plan for its use.  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  The translated items may</w:t>
      </w:r>
      <w:r w:rsidR="00962D1E">
        <w:rPr>
          <w:rFonts w:ascii="Arial" w:hAnsi="Arial" w:cs="Arial"/>
        </w:rPr>
        <w:t xml:space="preserve"> or may not</w:t>
      </w:r>
      <w:r w:rsidRPr="00450F9B">
        <w:rPr>
          <w:rFonts w:ascii="Arial" w:hAnsi="Arial" w:cs="Arial"/>
        </w:rPr>
        <w:t xml:space="preserve"> not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Potential study participants have certain expectations of privacy that the PI must understand and respect.  Privacy includes physical privacy and the right of the individual to choose when and how to disclose personal information that otherwise would not be accessible.  During recruitment, those expectations must be protected.  Physical privacy requires study staff to be discreet when conducting research-related exams.  Protecting informational privacy may also require discretion. For example, the IRB will not approve a process which involves approaching potential participants in a clinic waiting room, where conversations might be overheard and an individual’s privacy compromised.  Generally, for clinical recruitment, the IRB will not allow a PI to “cold call” potential participants by telephone; there must be some connection between the research team and the potential participant, such as referral from a clinician.  In settings involving recruitment of a family member and a head of household’s consent must first be obtained, the privacy of the family member may not be compromised in the discussions with the head of household.  Similarly, if enrolling adolescents in studies that 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U.S. Office of Human Research Protections issued a guidance which makes clear than any individual who obtains informed consent from a participant is “engaged” in human subjects research.  That person must be trained in human subjects research ethics and be qualified to provide information about the study and answer questions that potential participants may ask.  The individual should be sensitized to being able to assess when a potential participant understands what the study is about and whether or not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make a decision whether or not to provide consent.  The PI must provide details about the timing and the setting, and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  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If children will participate in the study, the PI must obtain permission from the parents or legal guardian of the children.  The law of the research site jurisdiction governs the definition of “adult” and when a person reaches the “age of majority”.  The PI should know what this age is and incorporate it into the research plan.  Some jurisdictions permit minors to provide consent for certain health related services as adults (without parental involvement).  In such cases, the minors are equivalent to adults – and it is not appropriate to ask for parental permission.  There also may be studies for which parental permission is not a “reasonable requirement” because of family circumstances; for example, if the study involves children who have been abused or neglected by a parent.  In such cases, parental permission may be waived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In studies involving children, the IRB will expect the PI to obtain the “assent”, or agreement, of any child whose age, maturity, and psychological state qualifies them to consider participation.  The IRB may waive assent in the event that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  Like consent, assent may be obtained without documentation (signature) where appropriate; the PI must provide a justification and a request for waiver of documentation.  </w:t>
      </w:r>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Some study populations are “vulnerable”, in the sense that they have a condition that may compromise an individual’s ability to provide voluntary informed consent.  That compromise may be to the individual’s freedom, as with prisoners, or mental capacity, as with adults with dementia.   Social and economic pressures may also unduly influence an individual’s decision making capacity, such as when an offer for enrollment includes free 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775854">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Many countries have populations who speak numerous languages, and the IRB needs to know how many consent documents, including oral scripts and documents for signature, will be used and translated in the study.  For unwritten languages and illiterate populations, the PI must explain how the study will be explained in a way that the individual will be able to make an informed decision whether or not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 xml:space="preserve">the procedures that participants will undergo.  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 w14:paraId="2B8F1BA6" w14:textId="1E39930C"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Present this information </w:t>
      </w:r>
      <w:r w:rsidR="00766C27" w:rsidRPr="00E84BC0">
        <w:rPr>
          <w:rFonts w:ascii="Arial" w:hAnsi="Arial" w:cs="Arial"/>
        </w:rPr>
        <w:t xml:space="preserve">as methodically as possible.  The IRB will compare the procedures listed here with those explained in the consent form.  </w:t>
      </w:r>
    </w:p>
    <w:p w14:paraId="369F5B7F" w14:textId="0336CCB1"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Include </w:t>
      </w:r>
      <w:r w:rsidR="00766C27" w:rsidRPr="00E84BC0">
        <w:rPr>
          <w:rFonts w:ascii="Arial" w:hAnsi="Arial" w:cs="Arial"/>
        </w:rPr>
        <w:t xml:space="preserve">information about who will be conducting and overseeing each procedure, as well as details about where, when, how, and by whom they will occur.  Clinical procedures must be performed by trained clinicians.  </w:t>
      </w:r>
    </w:p>
    <w:p w14:paraId="4A2C8763" w14:textId="4FADB13F" w:rsidR="00766C27" w:rsidRDefault="00766C27"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sidRPr="00E84BC0">
        <w:rPr>
          <w:rFonts w:ascii="Arial" w:hAnsi="Arial" w:cs="Arial"/>
        </w:rPr>
        <w:t>If laboratory tests are conducted, clarify whether</w:t>
      </w:r>
      <w:r w:rsidR="00C8766F">
        <w:rPr>
          <w:rFonts w:ascii="Arial" w:hAnsi="Arial" w:cs="Arial"/>
        </w:rPr>
        <w:t xml:space="preserve"> or not the</w:t>
      </w:r>
      <w:r w:rsidRPr="00E84BC0">
        <w:rPr>
          <w:rFonts w:ascii="Arial" w:hAnsi="Arial" w:cs="Arial"/>
        </w:rPr>
        <w:t xml:space="preserve"> test </w:t>
      </w:r>
      <w:r w:rsidR="00CA351E">
        <w:rPr>
          <w:rFonts w:ascii="Arial" w:hAnsi="Arial" w:cs="Arial"/>
        </w:rPr>
        <w:t xml:space="preserve">are standard of care and whether or not </w:t>
      </w:r>
      <w:r w:rsidRPr="00E84BC0">
        <w:rPr>
          <w:rFonts w:ascii="Arial" w:hAnsi="Arial" w:cs="Arial"/>
        </w:rPr>
        <w:t>results will be returned to participants and/or their personal physicians.</w:t>
      </w:r>
    </w:p>
    <w:p w14:paraId="5575A789" w14:textId="28803E6D" w:rsidR="00CA351E"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Note: Try to mentally put yourself or a family member in the position of potential participant in an effort to include all details someone would want to know. </w:t>
      </w:r>
    </w:p>
    <w:p w14:paraId="5AE7B429" w14:textId="32FA43B3" w:rsidR="00CA351E" w:rsidRPr="00E84BC0"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If multi-phased, include a description of all the phases, then specifics about the phase(s) for which you are seeking approval at the time of submission and review.  Include tables as needed.</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The IRB, and the study participants, need to know what the burden of time and inconvenience associated with the study might be.  The location of the visits is relevant to that assessment. Describe the total period an individual subject will be activity involved (e.g., three 1-hour visits over 6 months; two weekly, 2-hour phone calls, etc).</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2068085B" w14:textId="5035DC1A" w:rsidR="00CA351E" w:rsidRDefault="00CA351E"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Pr>
          <w:rFonts w:ascii="Arial" w:hAnsi="Arial" w:cs="Arial"/>
        </w:rPr>
        <w:t xml:space="preserve">How </w:t>
      </w:r>
      <w:r w:rsidR="00EE424C" w:rsidRPr="00E84BC0">
        <w:rPr>
          <w:rFonts w:ascii="Arial" w:hAnsi="Arial" w:cs="Arial"/>
        </w:rPr>
        <w:t xml:space="preserve">long </w:t>
      </w:r>
      <w:r>
        <w:rPr>
          <w:rFonts w:ascii="Arial" w:hAnsi="Arial" w:cs="Arial"/>
        </w:rPr>
        <w:t>will it</w:t>
      </w:r>
      <w:r w:rsidR="00EE424C" w:rsidRPr="00E84BC0">
        <w:rPr>
          <w:rFonts w:ascii="Arial" w:hAnsi="Arial" w:cs="Arial"/>
        </w:rPr>
        <w:t xml:space="preserve"> take to complete the proposed data collection</w:t>
      </w:r>
      <w:r>
        <w:rPr>
          <w:rFonts w:ascii="Arial" w:hAnsi="Arial" w:cs="Arial"/>
        </w:rPr>
        <w:t>?</w:t>
      </w:r>
      <w:r w:rsidR="00EE424C" w:rsidRPr="00E84BC0">
        <w:rPr>
          <w:rFonts w:ascii="Arial" w:hAnsi="Arial" w:cs="Arial"/>
        </w:rPr>
        <w:t xml:space="preserve"> </w:t>
      </w:r>
      <w:r>
        <w:rPr>
          <w:rFonts w:ascii="Arial" w:hAnsi="Arial" w:cs="Arial"/>
        </w:rPr>
        <w:t xml:space="preserve">For an individual participant?  For the entire project? </w:t>
      </w:r>
      <w:r w:rsidR="00EE424C" w:rsidRPr="00E84BC0">
        <w:rPr>
          <w:rFonts w:ascii="Arial" w:hAnsi="Arial" w:cs="Arial"/>
        </w:rPr>
        <w:t xml:space="preserve"> </w:t>
      </w:r>
    </w:p>
    <w:p w14:paraId="1593CDDB" w14:textId="1638CC36" w:rsidR="00CA351E"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 xml:space="preserve">As the study proceeds, the IRB will review progress reports and compare them to the initial time projection in the research plan.  Slow progress could indicate a feasibility or recruitment problem that would, in turn, affect the exposure of participants to risk or inconvenience.  </w:t>
      </w:r>
    </w:p>
    <w:p w14:paraId="651A7D5B" w14:textId="521548B9" w:rsidR="00EE424C" w:rsidRPr="00E84BC0"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37FC58F8"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 xml:space="preserve">This section should relate to the sample size information provided in Section 2c.  </w:t>
      </w:r>
      <w:r w:rsidR="00CA351E">
        <w:rPr>
          <w:rFonts w:ascii="Arial" w:hAnsi="Arial" w:cs="Arial"/>
        </w:rPr>
        <w:t>Explain</w:t>
      </w:r>
      <w:r w:rsidRPr="007C20AE">
        <w:rPr>
          <w:rFonts w:ascii="Arial" w:hAnsi="Arial" w:cs="Arial"/>
        </w:rPr>
        <w:t xml:space="preserve"> how the </w:t>
      </w:r>
      <w:r w:rsidR="00CA351E">
        <w:rPr>
          <w:rFonts w:ascii="Arial" w:hAnsi="Arial" w:cs="Arial"/>
        </w:rPr>
        <w:t xml:space="preserve">you </w:t>
      </w:r>
      <w:r w:rsidRPr="007C20AE">
        <w:rPr>
          <w:rFonts w:ascii="Arial" w:hAnsi="Arial" w:cs="Arial"/>
        </w:rPr>
        <w:t>will analyze the data to address</w:t>
      </w:r>
      <w:r w:rsidR="00CA351E">
        <w:rPr>
          <w:rFonts w:ascii="Arial" w:hAnsi="Arial" w:cs="Arial"/>
        </w:rPr>
        <w:t xml:space="preserve"> each of the</w:t>
      </w:r>
      <w:r w:rsidRPr="007C20AE">
        <w:rPr>
          <w:rFonts w:ascii="Arial" w:hAnsi="Arial" w:cs="Arial"/>
        </w:rPr>
        <w:t xml:space="preserve"> the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3963B2A5" w:rsidR="009571CD" w:rsidRPr="00D218B9" w:rsidRDefault="00CA351E" w:rsidP="00507439">
            <w:pPr>
              <w:pStyle w:val="ListParagraph"/>
              <w:ind w:left="0"/>
              <w:rPr>
                <w:rFonts w:ascii="Arial" w:hAnsi="Arial" w:cs="Arial"/>
              </w:rPr>
            </w:pPr>
            <w:r>
              <w:rPr>
                <w:rFonts w:ascii="Arial" w:hAnsi="Arial" w:cs="Arial"/>
              </w:rPr>
              <w:t>How will</w:t>
            </w:r>
            <w:r w:rsidR="009571CD" w:rsidRPr="009571CD">
              <w:rPr>
                <w:rFonts w:ascii="Arial" w:hAnsi="Arial" w:cs="Arial"/>
              </w:rPr>
              <w:t xml:space="preserve"> the study team will make assignments, particularly in studies that use any type of randomization</w:t>
            </w:r>
            <w:r>
              <w:rPr>
                <w:rFonts w:ascii="Arial" w:hAnsi="Arial" w:cs="Arial"/>
              </w:rPr>
              <w:t>?</w:t>
            </w:r>
            <w:r w:rsidR="009571CD" w:rsidRPr="009571CD">
              <w:rPr>
                <w:rFonts w:ascii="Arial" w:hAnsi="Arial" w:cs="Arial"/>
              </w:rPr>
              <w:t xml:space="preserve">  Will you use a numerical sequence?  Computer generated algorithm?  This question relates to issues of masking, or blinding, study team members (see below).  </w:t>
            </w:r>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0770662B" w:rsidR="009571CD" w:rsidRPr="009571CD" w:rsidRDefault="00CA351E"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Pr>
          <w:rFonts w:ascii="Arial" w:hAnsi="Arial" w:cs="Arial"/>
        </w:rPr>
        <w:t>What bio</w:t>
      </w:r>
      <w:r w:rsidR="009571CD" w:rsidRPr="009571CD">
        <w:rPr>
          <w:rFonts w:ascii="Arial" w:hAnsi="Arial" w:cs="Arial"/>
        </w:rPr>
        <w:t xml:space="preserve">specimens </w:t>
      </w:r>
      <w:r>
        <w:rPr>
          <w:rFonts w:ascii="Arial" w:hAnsi="Arial" w:cs="Arial"/>
        </w:rPr>
        <w:t xml:space="preserve">will you </w:t>
      </w:r>
      <w:r w:rsidR="009571CD" w:rsidRPr="009571CD">
        <w:rPr>
          <w:rFonts w:ascii="Arial" w:hAnsi="Arial" w:cs="Arial"/>
        </w:rPr>
        <w:t>collect, by whom (with what qualifications and/or credentials), how, where, and what will be done with those specimens</w:t>
      </w:r>
      <w:r>
        <w:rPr>
          <w:rFonts w:ascii="Arial" w:hAnsi="Arial" w:cs="Arial"/>
        </w:rPr>
        <w:t>?</w:t>
      </w:r>
      <w:r w:rsidR="009571CD" w:rsidRPr="009571CD">
        <w:rPr>
          <w:rFonts w:ascii="Arial" w:hAnsi="Arial" w:cs="Arial"/>
        </w:rPr>
        <w:t xml:space="preserve">  This part of the research plan addresses only the biospecimens that will be used up during the course of the study and not the specimens retained for future research.  That topic is discussed the last part of this research plan</w:t>
      </w:r>
      <w:r w:rsidR="002C3135">
        <w:rPr>
          <w:rFonts w:ascii="Arial" w:hAnsi="Arial" w:cs="Arial"/>
        </w:rPr>
        <w:t xml:space="preserve"> in the Biospecimen Repository section</w:t>
      </w:r>
      <w:r w:rsidR="009571CD" w:rsidRPr="009571CD">
        <w:rPr>
          <w:rFonts w:ascii="Arial" w:hAnsi="Arial" w:cs="Arial"/>
        </w:rPr>
        <w:t>.  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other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7E0C2B4D" w:rsidR="00C268AF" w:rsidRPr="00D218B9" w:rsidRDefault="00CA351E"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Pr>
          <w:rFonts w:ascii="Arial" w:hAnsi="Arial" w:cs="Arial"/>
        </w:rPr>
        <w:t>Provide</w:t>
      </w:r>
      <w:r w:rsidR="00C268AF" w:rsidRPr="00C268AF">
        <w:rPr>
          <w:rFonts w:ascii="Arial" w:hAnsi="Arial" w:cs="Arial"/>
        </w:rPr>
        <w:t xml:space="preserve"> details about genetic and genomic research so that it may assess the risks associated with the analyses, and ensure that the participants are properly informed about those risks.  These details must be very clear</w:t>
      </w:r>
      <w:r w:rsidR="009D7DA2">
        <w:rPr>
          <w:rFonts w:ascii="Arial" w:hAnsi="Arial" w:cs="Arial"/>
        </w:rPr>
        <w:t xml:space="preserve"> and consistent with</w:t>
      </w:r>
      <w:r w:rsidR="00C268AF" w:rsidRPr="00C268AF">
        <w:rPr>
          <w:rFonts w:ascii="Arial" w:hAnsi="Arial" w:cs="Arial"/>
        </w:rPr>
        <w:t xml:space="preserve"> material transfer agreements and other contractual arrangements.  If a PI intends to submit genomic data for Genome Wide Association Studies (GWAS), those details should be included here so the IRB may produce the appropriate certification.  Be aware of the requirements of NIH’s Genomic Data Sharing Policy (see: </w:t>
      </w:r>
      <w:hyperlink r:id="rId12" w:history="1">
        <w:r w:rsidR="00C268AF" w:rsidRPr="00D218B9">
          <w:rPr>
            <w:rStyle w:val="Hyperlink"/>
            <w:rFonts w:ascii="Arial" w:hAnsi="Arial" w:cs="Arial"/>
          </w:rPr>
          <w:t>https://osp.od.nih.gov/scientific-sharing/genomic-data-sharing/</w:t>
        </w:r>
      </w:hyperlink>
      <w:r w:rsidR="00C268AF"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r w:rsidRPr="009D7DA2">
              <w:rPr>
                <w:rFonts w:ascii="Arial" w:hAnsi="Arial" w:cs="Arial"/>
              </w:rPr>
              <w:t>.  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r w:rsidRPr="00775854">
        <w:rPr>
          <w:rFonts w:ascii="Arial" w:hAnsi="Arial" w:cs="Arial"/>
          <w:i/>
          <w:iCs/>
          <w:color w:val="000000" w:themeColor="text1"/>
        </w:rPr>
        <w:t xml:space="preserve">  </w:t>
      </w:r>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 xml:space="preserve">Explain the failure rate and under what circumstances you will repeat a test.  </w:t>
      </w:r>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r w:rsidR="00E94D81" w:rsidRPr="00775854">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1311684A"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i/>
        </w:rPr>
        <w:t>In vitro</w:t>
      </w:r>
      <w:r w:rsidRPr="00E84BC0">
        <w:rPr>
          <w:rFonts w:ascii="Arial" w:hAnsi="Arial" w:cs="Arial"/>
        </w:rPr>
        <w:t xml:space="preserve"> diagnostic tests are “medical devices” regulated in the U.S. by the FDA.  FDA approved tests have a known </w:t>
      </w:r>
      <w:r w:rsidRPr="00E84BC0">
        <w:rPr>
          <w:rFonts w:ascii="Arial" w:hAnsi="Arial" w:cs="Arial"/>
          <w:u w:val="single"/>
        </w:rPr>
        <w:t>sensitivity and specificity</w:t>
      </w:r>
      <w:r w:rsidRPr="00E84BC0">
        <w:rPr>
          <w:rFonts w:ascii="Arial" w:hAnsi="Arial" w:cs="Arial"/>
        </w:rPr>
        <w:t xml:space="preserve"> that give clinicians information about their reliability.  Investigational tests are not validated, making the information they produce uncertain in their accuracy and value to the participant.  </w:t>
      </w:r>
      <w:r w:rsidR="00CA351E" w:rsidRPr="00E84BC0">
        <w:rPr>
          <w:rFonts w:ascii="Arial" w:hAnsi="Arial" w:cs="Arial"/>
        </w:rPr>
        <w:t>Provide information about the accuracy of proposed</w:t>
      </w:r>
      <w:r w:rsidRPr="00E84BC0">
        <w:rPr>
          <w:rFonts w:ascii="Arial" w:hAnsi="Arial" w:cs="Arial"/>
        </w:rPr>
        <w:t xml:space="preserve"> diagnostic tests</w:t>
      </w:r>
      <w:r w:rsidR="00EB2AB6" w:rsidRPr="00E84BC0">
        <w:rPr>
          <w:rFonts w:ascii="Arial" w:hAnsi="Arial" w:cs="Arial"/>
        </w:rPr>
        <w:t>.</w:t>
      </w:r>
      <w:r w:rsidRPr="00E84BC0">
        <w:rPr>
          <w:rFonts w:ascii="Arial" w:hAnsi="Arial" w:cs="Arial"/>
        </w:rPr>
        <w:t xml:space="preserve"> </w:t>
      </w:r>
      <w:r w:rsidR="00EB2AB6" w:rsidRPr="000C6576">
        <w:rPr>
          <w:rFonts w:ascii="Arial" w:hAnsi="Arial" w:cs="Arial"/>
          <w:u w:val="single"/>
        </w:rPr>
        <w:t xml:space="preserve">If you are using diagnostic </w:t>
      </w:r>
      <w:r w:rsidR="00EB2AB6">
        <w:rPr>
          <w:rFonts w:ascii="Arial" w:hAnsi="Arial" w:cs="Arial"/>
          <w:u w:val="single"/>
        </w:rPr>
        <w:t xml:space="preserve">medical </w:t>
      </w:r>
      <w:r w:rsidR="00EB2AB6" w:rsidRPr="000C6576">
        <w:rPr>
          <w:rFonts w:ascii="Arial" w:hAnsi="Arial" w:cs="Arial"/>
          <w:u w:val="single"/>
        </w:rPr>
        <w:t>devices, please complete the “Medical Devices” section of this Research Plan</w:t>
      </w:r>
      <w:r w:rsidR="00EB2AB6" w:rsidRPr="000C6576">
        <w:rPr>
          <w:rFonts w:ascii="Arial" w:hAnsi="Arial" w:cs="Arial"/>
          <w:color w:val="0070C0"/>
        </w:rPr>
        <w:t>.</w:t>
      </w:r>
    </w:p>
    <w:p w14:paraId="44540D31"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In general, the IRB will anticipate that clinicians are familiar with the sensitivity and specificity of approved tests.  If those tests are used for standard of care purposes, and results provided to participants, the IRB will expect the study to provide the usual referrals that a participant may receive outside the study.  </w:t>
      </w:r>
    </w:p>
    <w:p w14:paraId="678AEFE2"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The IRB will consider results </w:t>
      </w:r>
      <w:r w:rsidRPr="00E84BC0">
        <w:rPr>
          <w:rFonts w:ascii="Arial" w:hAnsi="Arial" w:cs="Arial"/>
          <w:u w:val="single"/>
        </w:rPr>
        <w:t>of all kinds</w:t>
      </w:r>
      <w:r w:rsidRPr="00E84BC0">
        <w:rPr>
          <w:rFonts w:ascii="Arial" w:hAnsi="Arial" w:cs="Arial"/>
        </w:rPr>
        <w:t xml:space="preserve"> of which, if disclosed to participants, may be used to make decisions about a participant’s welfare.  The IRB will think about whether participants will consider having to undergo additional expensive testing or make decisions relying on questionable information.  Investigators should not return laboratory results from labs that do not meet clinical standards in the U.S. (CLIA certified or CLIA waived) or in the country where the testing takes place.  Results from investigational tests generally should not be returned unless validated against the gold standard.  Explain the plan for reporting, or not reporting, diagnostic test results back to participants and justify the choice.</w:t>
      </w:r>
    </w:p>
    <w:p w14:paraId="58219E32" w14:textId="59F1247B"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color w:val="0070C0"/>
        </w:rPr>
      </w:pPr>
      <w:r w:rsidRPr="00E84BC0">
        <w:rPr>
          <w:rFonts w:ascii="Arial" w:hAnsi="Arial" w:cs="Arial"/>
        </w:rPr>
        <w:t xml:space="preserve">For other diagnostic tests not regulated by the FDA, </w:t>
      </w:r>
      <w:r w:rsidR="007A7CD0" w:rsidRPr="00E84BC0">
        <w:rPr>
          <w:rFonts w:ascii="Arial" w:hAnsi="Arial" w:cs="Arial"/>
        </w:rPr>
        <w:t xml:space="preserve">such as psychological tests, </w:t>
      </w:r>
      <w:r w:rsidRPr="00E84BC0">
        <w:rPr>
          <w:rFonts w:ascii="Arial" w:hAnsi="Arial" w:cs="Arial"/>
        </w:rPr>
        <w:t xml:space="preserve">the same principles apply. </w:t>
      </w:r>
      <w:r w:rsidR="007A7CD0" w:rsidRPr="00E84BC0">
        <w:rPr>
          <w:rFonts w:ascii="Arial" w:hAnsi="Arial" w:cs="Arial"/>
        </w:rPr>
        <w:t>You may return the results of validated tests used routinely as standard care; unvalidated test results should not be returned to study participants as their accuracy is not well understood and could lead to misinformation.</w:t>
      </w:r>
      <w:r w:rsidRPr="00E84BC0">
        <w:rPr>
          <w:rFonts w:ascii="Arial" w:hAnsi="Arial" w:cs="Arial"/>
        </w:rPr>
        <w:t xml:space="preserve"> The IRB will consider how accurate proposed tests are and what the consequences may be for participants who receive the test results.  </w:t>
      </w:r>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pharmaceutical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  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  Make sure to consider any risk to participants from the cessation of treatment, and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  If the study design involves use of placebo, and use of a product approved in a developed country in the intervention group, the ethical justification of withholding the proven product from the placebo group must be addressed.  Provision of the product at a later time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t>For therapeutic studies, if there are criteria for removing participants for medical reasons, please explain.  For all studies, identify any reasons for which a participant might be removed from a study (noncompliance, failure to come to study visits, etc.).  Explain also the 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  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  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 xml:space="preserve">If investigators anticipate learning information about participants which may require professional attention outside the study, the research plan should explain how those referrals will be made.  </w:t>
      </w:r>
      <w:r w:rsidRPr="00121E44">
        <w:rPr>
          <w:rFonts w:ascii="Arial" w:hAnsi="Arial" w:cs="Arial"/>
          <w:u w:val="single"/>
        </w:rPr>
        <w:t>This is true even for questionnaire and survey studies</w:t>
      </w:r>
      <w:r>
        <w:rPr>
          <w:rFonts w:ascii="Arial" w:hAnsi="Arial" w:cs="Arial"/>
        </w:rPr>
        <w:t xml:space="preserve">.  </w:t>
      </w:r>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  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  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77777777"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C1615B"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C1615B"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C1615B"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507439" w14:paraId="07A93D68" w14:textId="77777777" w:rsidTr="00507439">
        <w:tc>
          <w:tcPr>
            <w:tcW w:w="10515" w:type="dxa"/>
          </w:tcPr>
          <w:p w14:paraId="056ABF7B" w14:textId="77777777" w:rsidR="00507439" w:rsidRDefault="00C1615B"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r w:rsidR="00507439">
              <w:t>Continue with Question 3</w:t>
            </w:r>
          </w:p>
          <w:p w14:paraId="6B40823C" w14:textId="77777777" w:rsidR="00507439" w:rsidRDefault="00C1615B"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 xml:space="preserve">  Skip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7777777" w:rsidR="00507439" w:rsidRDefault="00C1615B" w:rsidP="00507439">
            <w:pPr>
              <w:pStyle w:val="form-list"/>
              <w:ind w:left="245"/>
            </w:pPr>
            <w:sdt>
              <w:sdtPr>
                <w:id w:val="-128587920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BDE2166" w14:textId="77777777" w:rsidR="00507439" w:rsidRDefault="00C1615B" w:rsidP="00507439">
            <w:pPr>
              <w:pStyle w:val="form-list"/>
              <w:ind w:left="0"/>
              <w:jc w:val="center"/>
            </w:pPr>
            <w:sdt>
              <w:sdtPr>
                <w:id w:val="-103079311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Name, signature, initials or other identifiable code</w:t>
            </w:r>
          </w:p>
        </w:tc>
      </w:tr>
      <w:tr w:rsidR="00507439" w14:paraId="251F5B1C" w14:textId="77777777" w:rsidTr="00507439">
        <w:tc>
          <w:tcPr>
            <w:tcW w:w="1710" w:type="dxa"/>
          </w:tcPr>
          <w:p w14:paraId="5DD9CA92" w14:textId="77777777" w:rsidR="00507439" w:rsidRDefault="00C1615B"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73D3529" w14:textId="77777777" w:rsidR="00507439" w:rsidRDefault="00C1615B"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C1615B"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807FCF2" w14:textId="77777777" w:rsidR="00507439" w:rsidRDefault="00C1615B"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C1615B"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AA39C6D" w14:textId="77777777" w:rsidR="00507439" w:rsidRDefault="00C1615B"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C1615B"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493B9763" w14:textId="77777777" w:rsidR="00507439" w:rsidRDefault="00C1615B"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C1615B"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19CCBBE" w14:textId="77777777" w:rsidR="00507439" w:rsidRDefault="00C1615B"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C1615B"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7918B88" w14:textId="77777777" w:rsidR="00507439" w:rsidRDefault="00C1615B"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C1615B"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088D6ED" w14:textId="77777777" w:rsidR="00507439" w:rsidRDefault="00C1615B"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C1615B"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F72B634" w14:textId="77777777" w:rsidR="00507439" w:rsidRDefault="00C1615B"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C1615B"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1BDBB3C8" w14:textId="77777777" w:rsidR="00507439" w:rsidRDefault="00C1615B"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C1615B"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D717632" w14:textId="77777777" w:rsidR="00507439" w:rsidRDefault="00C1615B"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C1615B"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D3A7A1F" w14:textId="77777777" w:rsidR="00507439" w:rsidRDefault="00C1615B"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C1615B"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FEAEC56" w14:textId="77777777" w:rsidR="00507439" w:rsidRDefault="00C1615B"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C1615B"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8E0A3C3" w14:textId="77777777" w:rsidR="00507439" w:rsidRDefault="00C1615B"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F67009">
          <w:headerReference w:type="default" r:id="rId1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C1615B"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w:t>
            </w:r>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C1615B"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C1615B"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C1615B"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C1615B"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  </w:t>
            </w:r>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C1615B"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r w:rsidRPr="00941B0A">
              <w:t>Data  encrypted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C1615B"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Other.  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507439" w14:paraId="1F546882" w14:textId="77777777" w:rsidTr="00507439">
        <w:tc>
          <w:tcPr>
            <w:tcW w:w="10515" w:type="dxa"/>
          </w:tcPr>
          <w:p w14:paraId="5F5C2683" w14:textId="77777777" w:rsidR="00507439" w:rsidRDefault="00C1615B"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C1615B"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C1615B"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C1615B"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entered into file/database</w:t>
            </w:r>
          </w:p>
          <w:p w14:paraId="0A01ADB4" w14:textId="77777777" w:rsidR="00507439" w:rsidRDefault="00C1615B"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  </w:t>
            </w:r>
            <w:r w:rsidR="00507439" w:rsidRPr="00A05778">
              <w:rPr>
                <w:i/>
                <w:iCs/>
              </w:rPr>
              <w:t xml:space="preserve">Review </w:t>
            </w:r>
            <w:hyperlink r:id="rId17"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C1615B"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C1615B"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Online survey.  </w:t>
            </w:r>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C1615B"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3rd party collector.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77777777" w:rsidR="00507439" w:rsidRDefault="00C1615B"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JHSPH </w:t>
            </w:r>
            <w:r w:rsidR="00507439" w:rsidRPr="00FD1D75">
              <w:rPr>
                <w:rFonts w:cstheme="minorHAnsi"/>
              </w:rPr>
              <w:t>by data provider</w:t>
            </w:r>
            <w:r w:rsidR="00507439">
              <w:rPr>
                <w:rFonts w:cstheme="minorHAnsi"/>
              </w:rPr>
              <w:t xml:space="preserve"> via electronic access/transfer</w:t>
            </w:r>
          </w:p>
          <w:p w14:paraId="7B45CDEE" w14:textId="77777777" w:rsidR="00507439" w:rsidRDefault="00C1615B"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C1615B"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Other.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507439" w14:paraId="54366660" w14:textId="77777777" w:rsidTr="00507439">
        <w:tc>
          <w:tcPr>
            <w:tcW w:w="10515" w:type="dxa"/>
          </w:tcPr>
          <w:p w14:paraId="25CFF6C3" w14:textId="77777777" w:rsidR="00507439" w:rsidRDefault="00C1615B"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77777777"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Pr="00C56BDD">
              <w:rPr>
                <w:rFonts w:cstheme="minorHAnsi"/>
              </w:rPr>
              <w:t>JHSPH HPCC</w:t>
            </w:r>
          </w:p>
          <w:p w14:paraId="609684C5" w14:textId="77777777"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77777777"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Share</w:t>
            </w:r>
            <w:r>
              <w:rPr>
                <w:rFonts w:cstheme="minorHAnsi"/>
              </w:rPr>
              <w:t xml:space="preserve">point                            </w:t>
            </w:r>
            <w:sdt>
              <w:sdtPr>
                <w:rPr>
                  <w:rFonts w:cstheme="minorHAnsi"/>
                  <w:sz w:val="20"/>
                  <w:szCs w:val="20"/>
                </w:rPr>
                <w:id w:val="-2135170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77777777" w:rsidR="00507439" w:rsidRDefault="00C1615B"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JH/JHSPH, not pre-approved, and require a risk assessment review from JHSPH Data Security.  </w:t>
            </w:r>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77777777"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hyperlink r:id="rId18"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19"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addresses providing permissions to individual people.)  Check all that apply.  Note:  If you need assistance implementing secure access controls, contact </w:t>
            </w:r>
            <w:hyperlink r:id="rId20"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websites</w:t>
            </w:r>
          </w:p>
          <w:p w14:paraId="10661CB6"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other 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C1615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21"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t>All studies pose some sort of risk or discomfort, even a survey study may introduce boredom or inconvenience to its participants.  The PI must consider all reasonably foreseeable consequences of participation to participants, possible secondary subjects, and to the community – the good and the bad – and describe them in the research plan.  The consequences of a breach of confidentiality require particular thought.  Consent documentation must be consistent with the risks listed here.  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  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 xml:space="preserve">each of the risks described above.  </w:t>
      </w:r>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  For psychological testing, minimizing risk might include providing adequate access to care for participants should a test reveal psychological distress.  For a survey study involving collection of data about illegal behaviors, the precautions surrounding the timing and site of the data collection add protections which minimize risk.  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  How many visits or sessions does the study require, and how long will each of them take?  Is transportation, distance or cost, an issue?  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07EED39B"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Privacy involves the physical and personal zones where participants expect no “invasion” without explicit permission.  For example, participants do not expect to have personal questions about their health conditions or their sexual behaviors asked in a place where other people can hear</w:t>
      </w:r>
      <w:r w:rsidR="00372E35">
        <w:rPr>
          <w:rFonts w:ascii="Arial" w:hAnsi="Arial" w:cs="Arial"/>
        </w:rPr>
        <w:t>; that’s particulary important when using virtual data collection methods</w:t>
      </w:r>
      <w:r w:rsidRPr="007D1E7A">
        <w:rPr>
          <w:rFonts w:ascii="Arial" w:hAnsi="Arial" w:cs="Arial"/>
        </w:rPr>
        <w:t>.  They do not expect to have a physical exam in a place where others can watch.  And they expect the sanctity of their homes to be respected; so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  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55C6E3B5"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 xml:space="preserve">For studies that offer no direct personal benefit, the IRB will expect the study to provide some token of appreciation if allowed by the local IRB.  The type of payment (tokens, gifts, food, gift cards, cash) must be appropriate and clear, as must be the amount of the payment </w:t>
      </w:r>
      <w:r w:rsidR="00EB2AB6">
        <w:rPr>
          <w:rFonts w:ascii="Arial" w:hAnsi="Arial" w:cs="Arial"/>
        </w:rPr>
        <w:t xml:space="preserve">for full and/or partial completion of study procedures, </w:t>
      </w:r>
      <w:r w:rsidRPr="003C11A8">
        <w:rPr>
          <w:rFonts w:ascii="Arial" w:hAnsi="Arial" w:cs="Arial"/>
        </w:rPr>
        <w:t xml:space="preserve">and when it will be provided to participants.  The information in this section must be consistent with the information provided in the consent form.  The IRB will expect that if payment is offered, and the level of research burden on different groups of participants differs, payment will reflect those differences.  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4C4C53"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 xml:space="preserve">to study participants?  </w:t>
      </w:r>
      <w:r w:rsidR="001B3A2F" w:rsidRPr="00775854">
        <w:rPr>
          <w:rFonts w:ascii="Arial" w:hAnsi="Arial" w:cs="Arial"/>
          <w:i/>
          <w:iCs/>
          <w:color w:val="000000" w:themeColor="text1"/>
        </w:rPr>
        <w:t>If no payment is provided, the JHSPH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 w14:paraId="2F9E1EBD" w14:textId="7B6952B8"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According to the U.S. Office of Human Research Protections (OHRP), an investigator is “engaged” in human subjects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  The IRB can assist with making the “engaged” determination</w:t>
      </w:r>
      <w:r w:rsidRPr="003C11A8">
        <w:rPr>
          <w:rFonts w:ascii="Arial" w:hAnsi="Arial" w:cs="Arial"/>
        </w:rPr>
        <w:t>.</w:t>
      </w:r>
      <w:r w:rsidR="003C11A8" w:rsidRPr="003C11A8">
        <w:rPr>
          <w:rFonts w:ascii="Arial" w:hAnsi="Arial" w:cs="Arial"/>
        </w:rPr>
        <w:t xml:space="preserve"> The JHSPH IRB only oversees JHU faculty and staff, unless it has entered into a reliance agreement of some sort with another institution under which it agrees to take on the responsibility for overseeing the human subjects research activities of another institution or an external investigator who is reporting directly to the JHSPH PI.  Other investigators must have IRB oversight by an IRB of an institution with which the individual has a formal association, e.g.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 xml:space="preserve">The IRB is responsible for ensuring that study personnel and investigators are qualified to perform the study procedures for which they are responsible.  These qualifications go beyond ethics training as preparation and could involve specific expertise in the clinical, quantitative, qualitative, coordinating, repository, and analytic activities outlined in this research plan. </w:t>
      </w:r>
    </w:p>
    <w:p w14:paraId="014F1256" w14:textId="1A8A86D6"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subjects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JHSPH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the JHSPH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2"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consider using the JHSPH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3"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r w:rsidR="005E5CF8">
        <w:rPr>
          <w:rStyle w:val="Hyperlink"/>
          <w:rFonts w:ascii="Arial" w:hAnsi="Arial" w:cs="Arial"/>
        </w:rPr>
        <w:t xml:space="preserve"> </w:t>
      </w:r>
      <w:r w:rsidRPr="00775854">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775854">
        <w:rPr>
          <w:rFonts w:ascii="Arial" w:hAnsi="Arial" w:cs="Arial"/>
          <w:i/>
          <w:iCs/>
          <w:color w:val="000000" w:themeColor="text1"/>
        </w:rPr>
        <w:t xml:space="preserve"> </w:t>
      </w:r>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74F95665" w14:textId="77777777" w:rsidR="00EB2AB6"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r w:rsidR="00FD299D" w:rsidRPr="00FD299D">
        <w:rPr>
          <w:rFonts w:ascii="Arial" w:hAnsi="Arial" w:cs="Arial"/>
        </w:rPr>
        <w:t xml:space="preserve">.  Describe the safety monitoring for the study, both at a site level (medical monitoring of participants enrolled at the specific study site), and for the study overall.  </w:t>
      </w:r>
    </w:p>
    <w:p w14:paraId="3590FB9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Who will be responsible for reviewing safety reports and adverse event reports, and how will that information be communicated to individual sites?  </w:t>
      </w:r>
    </w:p>
    <w:p w14:paraId="72F53157"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If an individual monitor is used, clarify what specific steps that person will follow to ensure participants safety.  </w:t>
      </w:r>
    </w:p>
    <w:p w14:paraId="289BE9E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w:t>
      </w:r>
      <w:r w:rsidR="00474D77" w:rsidRPr="00E84BC0">
        <w:rPr>
          <w:rFonts w:ascii="Arial" w:hAnsi="Arial" w:cs="Arial"/>
        </w:rPr>
        <w:t xml:space="preserve">medical intervention studies involving more than minimal risk, safety oversight may require the creation of a Data Safety Monitoring Board or Committee with a charter that outlines their objective, or charter, the data they will review and the frequency of that review.  It may be that the DSMB will set stopping rules for clinical trials or review data after a certain number of participants are enrolled.  </w:t>
      </w:r>
    </w:p>
    <w:p w14:paraId="30CEFA3B" w14:textId="4372DD2D" w:rsidR="00474D77" w:rsidRPr="00E84BC0" w:rsidRDefault="00474D77"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less risky studies, or studies that will enroll fewer people, a medical monitor may be appropriate for safety oversight. Resource: </w:t>
      </w:r>
      <w:hyperlink r:id="rId24" w:history="1">
        <w:r w:rsidRPr="00EB2AB6">
          <w:rPr>
            <w:rStyle w:val="Hyperlink"/>
            <w:rFonts w:ascii="Arial" w:hAnsi="Arial" w:cs="Arial"/>
            <w:color w:val="auto"/>
          </w:rPr>
          <w:t>https://www.nimh.nih.gov/funding/clinical-research/nimh-policy-governing-the-monitoring-of-clinical-trials</w:t>
        </w:r>
      </w:hyperlink>
      <w:r w:rsidRPr="00E84BC0">
        <w:rPr>
          <w:rFonts w:ascii="Arial" w:hAnsi="Arial" w:cs="Arial"/>
        </w:rPr>
        <w:t>.  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r w:rsidRPr="00775854">
        <w:rPr>
          <w:rFonts w:ascii="Arial" w:hAnsi="Arial" w:cs="Arial"/>
          <w:i/>
          <w:iCs/>
          <w:color w:val="000000" w:themeColor="text1"/>
        </w:rPr>
        <w:t xml:space="preserve">.  </w:t>
      </w:r>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16E337A2"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 xml:space="preserve">Describe the report plan for unanticipated problems/adverse events, including reports to sponsor, data coordinating center (if applicable), DSMB, and IRBs.  JHSPH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r w:rsidRPr="00F20824">
        <w:rPr>
          <w:rFonts w:ascii="Arial" w:hAnsi="Arial" w:cs="Arial"/>
        </w:rPr>
        <w:t>.  (See policy 103.06, available under “Policies” at this IRB website page:</w:t>
      </w:r>
      <w:r w:rsidRPr="00F20824">
        <w:t xml:space="preserve"> </w:t>
      </w:r>
      <w:hyperlink r:id="rId25"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4526F3BF" w:rsidR="00A500D7" w:rsidRPr="00372E35" w:rsidRDefault="00A500D7" w:rsidP="00372E35">
      <w:pPr>
        <w:pStyle w:val="ListParagraph"/>
        <w:numPr>
          <w:ilvl w:val="0"/>
          <w:numId w:val="13"/>
        </w:numPr>
        <w:spacing w:before="60" w:after="120" w:line="240" w:lineRule="auto"/>
        <w:rPr>
          <w:rFonts w:ascii="Arial" w:hAnsi="Arial" w:cs="Arial"/>
          <w:color w:val="000000" w:themeColor="text1"/>
        </w:rPr>
      </w:pPr>
      <w:r w:rsidRPr="00372E35">
        <w:rPr>
          <w:rFonts w:ascii="Arial" w:hAnsi="Arial" w:cs="Arial"/>
          <w:b/>
          <w:color w:val="000000" w:themeColor="text1"/>
          <w:u w:val="single"/>
        </w:rPr>
        <w:t>Other IRBs/Ethics Review Boards</w:t>
      </w:r>
      <w:r w:rsidRPr="00372E35">
        <w:rPr>
          <w:rFonts w:ascii="Arial" w:hAnsi="Arial" w:cs="Arial"/>
          <w:b/>
          <w:color w:val="000000" w:themeColor="text1"/>
        </w:rPr>
        <w:t>:</w:t>
      </w:r>
      <w:r w:rsidRPr="00372E35">
        <w:rPr>
          <w:rFonts w:ascii="Arial" w:hAnsi="Arial" w:cs="Arial"/>
          <w:color w:val="000000" w:themeColor="text1"/>
        </w:rPr>
        <w:t xml:space="preserve">  </w:t>
      </w:r>
    </w:p>
    <w:p w14:paraId="73C6A5D3" w14:textId="77777777" w:rsidR="00372E35" w:rsidRPr="00D218B9" w:rsidRDefault="00372E35" w:rsidP="00372E35">
      <w:pPr>
        <w:spacing w:after="0" w:line="240" w:lineRule="auto"/>
        <w:ind w:left="720"/>
        <w:rPr>
          <w:rFonts w:ascii="Arial" w:hAnsi="Arial" w:cs="Arial"/>
        </w:rPr>
      </w:pPr>
    </w:p>
    <w:p w14:paraId="26D487C4" w14:textId="6C00ADAF" w:rsidR="00372E35" w:rsidRPr="00372E35"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sidRPr="00372E35">
        <w:rPr>
          <w:rFonts w:ascii="Arial" w:hAnsi="Arial" w:cs="Arial"/>
        </w:rPr>
        <w:t xml:space="preserve">It is useful for the IRB to know how many IRBs are involved in the project, </w:t>
      </w:r>
      <w:r>
        <w:rPr>
          <w:rFonts w:ascii="Arial" w:hAnsi="Arial" w:cs="Arial"/>
        </w:rPr>
        <w:t xml:space="preserve">if IRB Reliance Agreements are in place, </w:t>
      </w:r>
      <w:r w:rsidRPr="00372E35">
        <w:rPr>
          <w:rFonts w:ascii="Arial" w:hAnsi="Arial" w:cs="Arial"/>
        </w:rPr>
        <w:t>and what redundancies may exist in the review process.  We need to know which IRBs have Federal Wide Assurances with the U.S. Government (see the OHRP website for IRBs that have FWAs).  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7EA3CB2C" w14:textId="46DCC37A"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26"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 xml:space="preserve">).  </w:t>
      </w:r>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w:t>
      </w:r>
      <w:r w:rsidR="00372E35">
        <w:rPr>
          <w:rFonts w:ascii="Arial" w:hAnsi="Arial" w:cs="Arial"/>
          <w:b/>
          <w:i/>
          <w:iCs/>
          <w:color w:val="000000" w:themeColor="text1"/>
        </w:rPr>
        <w:t>by</w:t>
      </w:r>
      <w:r w:rsidR="003F5ED7">
        <w:rPr>
          <w:rFonts w:ascii="Arial" w:hAnsi="Arial" w:cs="Arial"/>
          <w:b/>
          <w:i/>
          <w:iCs/>
          <w:color w:val="000000" w:themeColor="text1"/>
        </w:rPr>
        <w:t xml:space="preserve">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2E08AE71" w14:textId="77777777" w:rsidR="00372E35" w:rsidRPr="00D218B9" w:rsidRDefault="00372E35" w:rsidP="00372E35">
      <w:pPr>
        <w:spacing w:after="0" w:line="240" w:lineRule="auto"/>
        <w:ind w:left="720"/>
        <w:rPr>
          <w:rFonts w:ascii="Arial" w:hAnsi="Arial" w:cs="Arial"/>
        </w:rPr>
      </w:pPr>
    </w:p>
    <w:p w14:paraId="1E18E484" w14:textId="45D290FD" w:rsidR="00372E35" w:rsidRPr="00D218B9"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Researchers are “engaged” in human subjects research if they are direct federal grant recipients (even if not collecting the data), </w:t>
      </w:r>
      <w:r w:rsidR="00B66D95">
        <w:rPr>
          <w:rFonts w:ascii="Arial" w:hAnsi="Arial" w:cs="Arial"/>
        </w:rPr>
        <w:t>have direct or indirect contact with study participants, and/or are analyzing identifiable private information or biospecimens.  If “engaged”, the researcher’s activities must be overseen by an IRB/Research Ethics Committee (REC</w:t>
      </w:r>
      <w:r w:rsidR="00B66D95" w:rsidRPr="00B66D95">
        <w:rPr>
          <w:rFonts w:ascii="Arial" w:hAnsi="Arial" w:cs="Arial"/>
        </w:rPr>
        <w:t xml:space="preserve">).  </w:t>
      </w:r>
      <w:r w:rsidRPr="00B66D95">
        <w:rPr>
          <w:rFonts w:ascii="Arial" w:hAnsi="Arial" w:cs="Arial"/>
        </w:rPr>
        <w:t>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33274FA2" w14:textId="77777777" w:rsidR="00372E35" w:rsidRDefault="00372E35" w:rsidP="00AE5E78">
      <w:pPr>
        <w:spacing w:after="0" w:line="240" w:lineRule="auto"/>
        <w:ind w:left="720"/>
        <w:rPr>
          <w:rFonts w:ascii="Arial" w:hAnsi="Arial" w:cs="Arial"/>
          <w:i/>
          <w:iCs/>
          <w:color w:val="000000" w:themeColor="text1"/>
        </w:rPr>
      </w:pPr>
    </w:p>
    <w:p w14:paraId="1957CD33" w14:textId="77777777" w:rsidR="00372E35" w:rsidRDefault="00372E35" w:rsidP="00AE5E78">
      <w:pPr>
        <w:spacing w:after="0" w:line="240" w:lineRule="auto"/>
        <w:ind w:left="720"/>
        <w:rPr>
          <w:rFonts w:ascii="Arial" w:hAnsi="Arial" w:cs="Arial"/>
          <w:i/>
          <w:iCs/>
          <w:color w:val="000000" w:themeColor="text1"/>
        </w:rPr>
      </w:pPr>
    </w:p>
    <w:p w14:paraId="266A2FC1" w14:textId="77777777" w:rsidR="00372E35" w:rsidRDefault="00372E35" w:rsidP="00AE5E78">
      <w:pPr>
        <w:spacing w:after="0" w:line="240" w:lineRule="auto"/>
        <w:ind w:left="720"/>
        <w:rPr>
          <w:rFonts w:ascii="Arial" w:hAnsi="Arial" w:cs="Arial"/>
          <w:i/>
          <w:iCs/>
          <w:color w:val="000000" w:themeColor="text1"/>
        </w:rPr>
      </w:pPr>
    </w:p>
    <w:p w14:paraId="7660AABF" w14:textId="5867EFDF"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3C8D6867" w:rsidR="00F20824" w:rsidRPr="00D218B9" w:rsidRDefault="00F20824"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sidRPr="00F20824">
        <w:rPr>
          <w:rFonts w:ascii="Arial" w:hAnsi="Arial" w:cs="Arial"/>
        </w:rPr>
        <w:t xml:space="preserve">JHSPH students are not faculty, thus the IRB needs to know how the faculty PI will ensure that the research will proceed in accordance with IRB approval.  Please read the guidance posted on the IRB website, “What am I agreeing to do when I become a Principal Investigator on a JHSPH IRB protocol?” (see: </w:t>
      </w:r>
      <w:hyperlink r:id="rId27" w:history="1">
        <w:r w:rsidR="0020130B" w:rsidRPr="0029525E">
          <w:rPr>
            <w:rStyle w:val="Hyperlink"/>
          </w:rPr>
          <w:t>https://www.jhsph.edu/offices-and-services/institutional-review-board/_pdfs-and-docs/pi-responsibilities-final-2010-01-21.pdf</w:t>
        </w:r>
      </w:hyperlink>
      <w:r w:rsidR="0020130B">
        <w:t xml:space="preserve"> </w:t>
      </w:r>
      <w:r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r w:rsidR="00EF482A" w:rsidRPr="00775854">
        <w:rPr>
          <w:rFonts w:ascii="Arial" w:hAnsi="Arial" w:cs="Arial"/>
          <w:i/>
          <w:iCs/>
          <w:color w:val="000000" w:themeColor="text1"/>
        </w:rPr>
        <w:t>.  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specimens, or may remain after the primary study intervention is completed.  In either case, the policies and procedures associated with the management, distribution, and use of those biospecimens must be clear to the IRB.  The IRB is responsible for ensuring that participants understand how their specimens may be used and by whom, what risks are associated with those uses, and how those decisions will be made. They also need to know how they may withdraw consent later if they so decide.  </w:t>
      </w:r>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5BC9DAC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Complete if JHSPH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00366D10"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JHSPH.  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  The responsibilities of the DCC are significant, and the PI must explain the distribution of duties associated with this aspect of a study.  Once a data coordinating center application is reviewed and approved, an IRB may consider the risks to participants associated with the study at the DCC site to be minimal, since no participants will be exposed to the study intervention at the DCC site.  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procedures be developed?  </w:t>
      </w:r>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r w:rsidRPr="00775854">
        <w:rPr>
          <w:rFonts w:ascii="Arial" w:hAnsi="Arial" w:cs="Arial"/>
          <w:i/>
          <w:iCs/>
          <w:color w:val="000000" w:themeColor="text1"/>
        </w:rPr>
        <w:t>?  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  Some of these products will fall within the regulatory jurisdiction of the FDA or international regulatory authorities.  Provide any information available about guidelines you are following, such as WHO guidelines, or about the regulatory approval, including importation if relevant, status of the product.  Provide also clear information about what is standard care in the study site, and whether the drug regimen selected for the study is consistent with, or departs from, standard care.  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t>If your study product has an Investigational New Drug (IND) application through the U.S. Food and 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r w:rsidR="00C32CE6" w:rsidRPr="00775854">
        <w:rPr>
          <w:rFonts w:ascii="Arial" w:hAnsi="Arial" w:cs="Arial"/>
          <w:i/>
          <w:iCs/>
          <w:color w:val="000000" w:themeColor="text1"/>
        </w:rPr>
        <w:t>documentation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28"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21D4211F" w:rsidR="00910DFF" w:rsidRDefault="00025B41" w:rsidP="00DA61A0">
      <w:pPr>
        <w:spacing w:before="240" w:after="60"/>
        <w:ind w:left="360" w:hanging="450"/>
        <w:rPr>
          <w:rFonts w:ascii="Arial" w:hAnsi="Arial" w:cs="Arial"/>
          <w:b/>
          <w:color w:val="000000" w:themeColor="text1"/>
          <w:u w:val="single"/>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20130B">
        <w:rPr>
          <w:rFonts w:ascii="Arial" w:hAnsi="Arial" w:cs="Arial"/>
          <w:b/>
          <w:color w:val="000000" w:themeColor="text1"/>
        </w:rPr>
        <w:t>:</w:t>
      </w:r>
    </w:p>
    <w:p w14:paraId="6207549D" w14:textId="77777777" w:rsidR="0020130B" w:rsidRPr="00321F51" w:rsidRDefault="0020130B" w:rsidP="00DA61A0">
      <w:pPr>
        <w:spacing w:before="240" w:after="60"/>
        <w:ind w:left="360" w:hanging="450"/>
        <w:rPr>
          <w:rFonts w:ascii="Arial" w:hAnsi="Arial" w:cs="Arial"/>
          <w:color w:val="000000" w:themeColor="text1"/>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bandaids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  For federally funded studies, and studies conducted in the United States, investigational devices fall under the FDA device regulations.  Devices used in other countries must follow local laws and regulations.  </w:t>
      </w:r>
    </w:p>
    <w:p w14:paraId="146B863E" w14:textId="77777777" w:rsidR="0020130B" w:rsidRDefault="0020130B" w:rsidP="0020130B">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an approved or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xml:space="preserve">, non-significant risk, significant risk).  </w:t>
      </w:r>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and whether or not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 xml:space="preserve">Provide product information.  </w:t>
      </w:r>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status</w:t>
      </w:r>
      <w:r w:rsidR="00DA61A0" w:rsidRPr="00775854">
        <w:rPr>
          <w:rFonts w:ascii="Arial" w:hAnsi="Arial" w:cs="Arial"/>
          <w:i/>
          <w:iCs/>
          <w:color w:val="000000" w:themeColor="text1"/>
        </w:rPr>
        <w:t xml:space="preserve"> as approved by a government authority or not 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775854">
        <w:rPr>
          <w:rFonts w:ascii="Arial" w:hAnsi="Arial" w:cs="Arial"/>
          <w:b/>
          <w:i/>
          <w:iCs/>
          <w:color w:val="000000" w:themeColor="text1"/>
        </w:rPr>
        <w:t>diagnostic device</w:t>
      </w:r>
      <w:r w:rsidRPr="00775854">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21CFR 812.2(c)</w:t>
      </w:r>
      <w:r w:rsidRPr="00775854">
        <w:rPr>
          <w:rFonts w:ascii="Arial" w:hAnsi="Arial" w:cs="Arial"/>
          <w:i/>
          <w:iCs/>
          <w:color w:val="000000" w:themeColor="text1"/>
        </w:rPr>
        <w:t>, but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F6700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5CA" w14:textId="77777777" w:rsidR="00C8766F" w:rsidRDefault="00C8766F" w:rsidP="00A008AE">
      <w:pPr>
        <w:spacing w:after="0" w:line="240" w:lineRule="auto"/>
      </w:pPr>
      <w:r>
        <w:separator/>
      </w:r>
    </w:p>
  </w:endnote>
  <w:endnote w:type="continuationSeparator" w:id="0">
    <w:p w14:paraId="4EAF753B" w14:textId="77777777" w:rsidR="00C8766F" w:rsidRDefault="00C8766F"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FDE13F2" w:rsidR="00C8766F" w:rsidRPr="00146EA0" w:rsidRDefault="00C8766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1D30" w14:textId="77777777" w:rsidR="00C8766F" w:rsidRDefault="00C8766F" w:rsidP="00A008AE">
      <w:pPr>
        <w:spacing w:after="0" w:line="240" w:lineRule="auto"/>
      </w:pPr>
      <w:r>
        <w:separator/>
      </w:r>
    </w:p>
  </w:footnote>
  <w:footnote w:type="continuationSeparator" w:id="0">
    <w:p w14:paraId="795ACEDC" w14:textId="77777777" w:rsidR="00C8766F" w:rsidRDefault="00C8766F"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15372"/>
      <w:docPartObj>
        <w:docPartGallery w:val="Page Numbers (Top of Page)"/>
        <w:docPartUnique/>
      </w:docPartObj>
    </w:sdtPr>
    <w:sdtEndPr/>
    <w:sdtContent>
      <w:p w14:paraId="30365645" w14:textId="16F4AEA1" w:rsidR="00C8766F" w:rsidRDefault="00C8766F"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p w14:paraId="2F986F48" w14:textId="77777777" w:rsidR="00C8766F" w:rsidRDefault="00C8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2F0C8B5E" w:rsidR="00C8766F" w:rsidRDefault="00C8766F"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p w14:paraId="0DD1A1E8" w14:textId="77777777" w:rsidR="00C8766F" w:rsidRDefault="00C8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830"/>
    <w:multiLevelType w:val="hybridMultilevel"/>
    <w:tmpl w:val="849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3C2E"/>
    <w:multiLevelType w:val="hybridMultilevel"/>
    <w:tmpl w:val="F33ABD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C03"/>
    <w:multiLevelType w:val="hybridMultilevel"/>
    <w:tmpl w:val="04405B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7CEC"/>
    <w:multiLevelType w:val="hybridMultilevel"/>
    <w:tmpl w:val="9EDC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D3A88"/>
    <w:multiLevelType w:val="hybridMultilevel"/>
    <w:tmpl w:val="5B4277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30"/>
  </w:num>
  <w:num w:numId="4">
    <w:abstractNumId w:val="31"/>
  </w:num>
  <w:num w:numId="5">
    <w:abstractNumId w:val="37"/>
  </w:num>
  <w:num w:numId="6">
    <w:abstractNumId w:val="2"/>
  </w:num>
  <w:num w:numId="7">
    <w:abstractNumId w:val="3"/>
  </w:num>
  <w:num w:numId="8">
    <w:abstractNumId w:val="20"/>
  </w:num>
  <w:num w:numId="9">
    <w:abstractNumId w:val="35"/>
  </w:num>
  <w:num w:numId="10">
    <w:abstractNumId w:val="4"/>
  </w:num>
  <w:num w:numId="11">
    <w:abstractNumId w:val="23"/>
  </w:num>
  <w:num w:numId="12">
    <w:abstractNumId w:val="26"/>
  </w:num>
  <w:num w:numId="13">
    <w:abstractNumId w:val="7"/>
  </w:num>
  <w:num w:numId="14">
    <w:abstractNumId w:val="24"/>
  </w:num>
  <w:num w:numId="15">
    <w:abstractNumId w:val="0"/>
  </w:num>
  <w:num w:numId="16">
    <w:abstractNumId w:val="33"/>
  </w:num>
  <w:num w:numId="17">
    <w:abstractNumId w:val="16"/>
  </w:num>
  <w:num w:numId="18">
    <w:abstractNumId w:val="19"/>
  </w:num>
  <w:num w:numId="19">
    <w:abstractNumId w:val="13"/>
  </w:num>
  <w:num w:numId="20">
    <w:abstractNumId w:val="25"/>
  </w:num>
  <w:num w:numId="21">
    <w:abstractNumId w:val="18"/>
  </w:num>
  <w:num w:numId="22">
    <w:abstractNumId w:val="38"/>
  </w:num>
  <w:num w:numId="23">
    <w:abstractNumId w:val="14"/>
  </w:num>
  <w:num w:numId="24">
    <w:abstractNumId w:val="39"/>
  </w:num>
  <w:num w:numId="25">
    <w:abstractNumId w:val="32"/>
  </w:num>
  <w:num w:numId="26">
    <w:abstractNumId w:val="29"/>
  </w:num>
  <w:num w:numId="27">
    <w:abstractNumId w:val="28"/>
  </w:num>
  <w:num w:numId="28">
    <w:abstractNumId w:val="9"/>
  </w:num>
  <w:num w:numId="29">
    <w:abstractNumId w:val="6"/>
  </w:num>
  <w:num w:numId="30">
    <w:abstractNumId w:val="34"/>
  </w:num>
  <w:num w:numId="31">
    <w:abstractNumId w:val="15"/>
  </w:num>
  <w:num w:numId="32">
    <w:abstractNumId w:val="8"/>
  </w:num>
  <w:num w:numId="33">
    <w:abstractNumId w:val="11"/>
  </w:num>
  <w:num w:numId="34">
    <w:abstractNumId w:val="21"/>
  </w:num>
  <w:num w:numId="35">
    <w:abstractNumId w:val="27"/>
  </w:num>
  <w:num w:numId="36">
    <w:abstractNumId w:val="5"/>
  </w:num>
  <w:num w:numId="37">
    <w:abstractNumId w:val="10"/>
  </w:num>
  <w:num w:numId="38">
    <w:abstractNumId w:val="12"/>
  </w:num>
  <w:num w:numId="39">
    <w:abstractNumId w:val="36"/>
  </w:num>
  <w:num w:numId="4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130B"/>
    <w:rsid w:val="00202274"/>
    <w:rsid w:val="0021234F"/>
    <w:rsid w:val="002223E3"/>
    <w:rsid w:val="002241B8"/>
    <w:rsid w:val="002258B6"/>
    <w:rsid w:val="00225D5E"/>
    <w:rsid w:val="00230D98"/>
    <w:rsid w:val="00232644"/>
    <w:rsid w:val="00235C93"/>
    <w:rsid w:val="002451A1"/>
    <w:rsid w:val="00253C9C"/>
    <w:rsid w:val="00254A7F"/>
    <w:rsid w:val="00257ED6"/>
    <w:rsid w:val="002659C9"/>
    <w:rsid w:val="00266313"/>
    <w:rsid w:val="002678ED"/>
    <w:rsid w:val="00267D57"/>
    <w:rsid w:val="00270B72"/>
    <w:rsid w:val="00271AF9"/>
    <w:rsid w:val="00275DDC"/>
    <w:rsid w:val="00275FE9"/>
    <w:rsid w:val="002800F8"/>
    <w:rsid w:val="002863EA"/>
    <w:rsid w:val="002A040E"/>
    <w:rsid w:val="002A2FE2"/>
    <w:rsid w:val="002B00BE"/>
    <w:rsid w:val="002C3135"/>
    <w:rsid w:val="002C37C0"/>
    <w:rsid w:val="002C4BE4"/>
    <w:rsid w:val="002D157D"/>
    <w:rsid w:val="002D649E"/>
    <w:rsid w:val="002E0CB7"/>
    <w:rsid w:val="002E3360"/>
    <w:rsid w:val="002E6AB1"/>
    <w:rsid w:val="002F1D6B"/>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72E35"/>
    <w:rsid w:val="003812F6"/>
    <w:rsid w:val="00381386"/>
    <w:rsid w:val="00387A6F"/>
    <w:rsid w:val="00391E21"/>
    <w:rsid w:val="0039321E"/>
    <w:rsid w:val="00395D1E"/>
    <w:rsid w:val="00397B36"/>
    <w:rsid w:val="003A3449"/>
    <w:rsid w:val="003A396E"/>
    <w:rsid w:val="003A7252"/>
    <w:rsid w:val="003B27BD"/>
    <w:rsid w:val="003B4669"/>
    <w:rsid w:val="003C0810"/>
    <w:rsid w:val="003C11A8"/>
    <w:rsid w:val="003C66FD"/>
    <w:rsid w:val="003D396B"/>
    <w:rsid w:val="003D5FBE"/>
    <w:rsid w:val="003F1580"/>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4E1F"/>
    <w:rsid w:val="00506680"/>
    <w:rsid w:val="00507439"/>
    <w:rsid w:val="00511332"/>
    <w:rsid w:val="00517595"/>
    <w:rsid w:val="00526F03"/>
    <w:rsid w:val="00531C94"/>
    <w:rsid w:val="00534025"/>
    <w:rsid w:val="00546D79"/>
    <w:rsid w:val="005544DE"/>
    <w:rsid w:val="0055730E"/>
    <w:rsid w:val="005700E4"/>
    <w:rsid w:val="00572732"/>
    <w:rsid w:val="00582AFA"/>
    <w:rsid w:val="005904AD"/>
    <w:rsid w:val="005A1B84"/>
    <w:rsid w:val="005A1DB8"/>
    <w:rsid w:val="005A4A7A"/>
    <w:rsid w:val="005B18FB"/>
    <w:rsid w:val="005B262E"/>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12B9"/>
    <w:rsid w:val="007067C6"/>
    <w:rsid w:val="0070706B"/>
    <w:rsid w:val="00710258"/>
    <w:rsid w:val="007371C9"/>
    <w:rsid w:val="007411E4"/>
    <w:rsid w:val="00744A79"/>
    <w:rsid w:val="00744DAB"/>
    <w:rsid w:val="00747EC2"/>
    <w:rsid w:val="00760949"/>
    <w:rsid w:val="00761DC2"/>
    <w:rsid w:val="00766C27"/>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26711"/>
    <w:rsid w:val="00826A2C"/>
    <w:rsid w:val="0082747A"/>
    <w:rsid w:val="00827EF7"/>
    <w:rsid w:val="00833DF9"/>
    <w:rsid w:val="00835076"/>
    <w:rsid w:val="00837ADE"/>
    <w:rsid w:val="00842A66"/>
    <w:rsid w:val="00847F6D"/>
    <w:rsid w:val="008500DB"/>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DFF"/>
    <w:rsid w:val="009140A8"/>
    <w:rsid w:val="0092018D"/>
    <w:rsid w:val="00925B10"/>
    <w:rsid w:val="009365C5"/>
    <w:rsid w:val="00937FCB"/>
    <w:rsid w:val="00941754"/>
    <w:rsid w:val="009421E5"/>
    <w:rsid w:val="009447B0"/>
    <w:rsid w:val="009502C6"/>
    <w:rsid w:val="00955C83"/>
    <w:rsid w:val="009571CD"/>
    <w:rsid w:val="00960EDC"/>
    <w:rsid w:val="009610C3"/>
    <w:rsid w:val="00962D1E"/>
    <w:rsid w:val="00965DD4"/>
    <w:rsid w:val="00972131"/>
    <w:rsid w:val="00972354"/>
    <w:rsid w:val="00974DEB"/>
    <w:rsid w:val="0097531E"/>
    <w:rsid w:val="00990A8E"/>
    <w:rsid w:val="00991D03"/>
    <w:rsid w:val="009A15C0"/>
    <w:rsid w:val="009A6AEC"/>
    <w:rsid w:val="009A706A"/>
    <w:rsid w:val="009B2F56"/>
    <w:rsid w:val="009B4327"/>
    <w:rsid w:val="009B6B1C"/>
    <w:rsid w:val="009D0C09"/>
    <w:rsid w:val="009D1361"/>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6A5B"/>
    <w:rsid w:val="00AA1AF7"/>
    <w:rsid w:val="00AB0A2C"/>
    <w:rsid w:val="00AB1ECF"/>
    <w:rsid w:val="00AB76E7"/>
    <w:rsid w:val="00AC3128"/>
    <w:rsid w:val="00AD5CB9"/>
    <w:rsid w:val="00AE1DA1"/>
    <w:rsid w:val="00AE5BDA"/>
    <w:rsid w:val="00AE5E78"/>
    <w:rsid w:val="00AE75A2"/>
    <w:rsid w:val="00AE7B44"/>
    <w:rsid w:val="00AF097C"/>
    <w:rsid w:val="00AF51D1"/>
    <w:rsid w:val="00B004F7"/>
    <w:rsid w:val="00B0616C"/>
    <w:rsid w:val="00B12E4C"/>
    <w:rsid w:val="00B14C26"/>
    <w:rsid w:val="00B20F09"/>
    <w:rsid w:val="00B34F9F"/>
    <w:rsid w:val="00B40347"/>
    <w:rsid w:val="00B50254"/>
    <w:rsid w:val="00B51A35"/>
    <w:rsid w:val="00B57380"/>
    <w:rsid w:val="00B61464"/>
    <w:rsid w:val="00B6263D"/>
    <w:rsid w:val="00B66D95"/>
    <w:rsid w:val="00B70758"/>
    <w:rsid w:val="00B72159"/>
    <w:rsid w:val="00B7297E"/>
    <w:rsid w:val="00B745CE"/>
    <w:rsid w:val="00B818BF"/>
    <w:rsid w:val="00B82454"/>
    <w:rsid w:val="00B84B3B"/>
    <w:rsid w:val="00BA1ADE"/>
    <w:rsid w:val="00BB0559"/>
    <w:rsid w:val="00BB3ADA"/>
    <w:rsid w:val="00BC082A"/>
    <w:rsid w:val="00BC37B4"/>
    <w:rsid w:val="00BE1F5D"/>
    <w:rsid w:val="00BF306C"/>
    <w:rsid w:val="00C027CB"/>
    <w:rsid w:val="00C0547A"/>
    <w:rsid w:val="00C07DD6"/>
    <w:rsid w:val="00C1615B"/>
    <w:rsid w:val="00C176CE"/>
    <w:rsid w:val="00C237C2"/>
    <w:rsid w:val="00C23AD4"/>
    <w:rsid w:val="00C268AF"/>
    <w:rsid w:val="00C32CE6"/>
    <w:rsid w:val="00C402CA"/>
    <w:rsid w:val="00C47A57"/>
    <w:rsid w:val="00C513D9"/>
    <w:rsid w:val="00C52115"/>
    <w:rsid w:val="00C525EA"/>
    <w:rsid w:val="00C558C1"/>
    <w:rsid w:val="00C630A2"/>
    <w:rsid w:val="00C736D3"/>
    <w:rsid w:val="00C75C3A"/>
    <w:rsid w:val="00C762CB"/>
    <w:rsid w:val="00C80609"/>
    <w:rsid w:val="00C80E22"/>
    <w:rsid w:val="00C8766F"/>
    <w:rsid w:val="00C9099D"/>
    <w:rsid w:val="00C90B52"/>
    <w:rsid w:val="00CA02D2"/>
    <w:rsid w:val="00CA351E"/>
    <w:rsid w:val="00CA726C"/>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1C1F"/>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84BC0"/>
    <w:rsid w:val="00E94D81"/>
    <w:rsid w:val="00E975B8"/>
    <w:rsid w:val="00E97F9D"/>
    <w:rsid w:val="00EA3A2D"/>
    <w:rsid w:val="00EA50BF"/>
    <w:rsid w:val="00EB2AB6"/>
    <w:rsid w:val="00EB3808"/>
    <w:rsid w:val="00EB51C5"/>
    <w:rsid w:val="00EC0F6C"/>
    <w:rsid w:val="00EC2300"/>
    <w:rsid w:val="00EE2377"/>
    <w:rsid w:val="00EE424C"/>
    <w:rsid w:val="00EE62AD"/>
    <w:rsid w:val="00EF2E54"/>
    <w:rsid w:val="00EF482A"/>
    <w:rsid w:val="00F011BE"/>
    <w:rsid w:val="00F01B9E"/>
    <w:rsid w:val="00F02EF0"/>
    <w:rsid w:val="00F04575"/>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hyperlink" Target="https://my.jhsph.edu/Offices/InformationTechnology/ComputerSupport/SharedFolders/OneDrive-JHSPH/Documents/JHSPHGuidanceRegardingOneDriveSharing.pdf" TargetMode="External"/><Relationship Id="rId26" Type="http://schemas.openxmlformats.org/officeDocument/2006/relationships/hyperlink" Target="http://www.hhs.gov/ohrp/assurances" TargetMode="External"/><Relationship Id="rId3" Type="http://schemas.openxmlformats.org/officeDocument/2006/relationships/customXml" Target="../customXml/item3.xml"/><Relationship Id="rId21" Type="http://schemas.openxmlformats.org/officeDocument/2006/relationships/hyperlink" Target="https://humansubjects.nih.gov/coc/index" TargetMode="Externa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hyperlink" Target="https://www.jhsph.edu/offices-and-services/institutional-review-board/_pdfs-and-docs/JHU_Guidance_Regarding_Security_of_Custom_Developed_Mobile_and_Web_Applications.docx2.pdf" TargetMode="External"/><Relationship Id="rId25"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hsph_cybersecurity@jhu.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https://www.nimh.nih.gov/funding/clinical-research/nimh-policy-governing-the-monitoring-of-clinical-trial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mailto:housecall@jhu.edu" TargetMode="External"/><Relationship Id="rId28" Type="http://schemas.openxmlformats.org/officeDocument/2006/relationships/hyperlink" Target="https://publichealth.jhu.edu/offices-and-services/institutional-review-board-irb/forms" TargetMode="External"/><Relationship Id="rId10" Type="http://schemas.openxmlformats.org/officeDocument/2006/relationships/endnotes" Target="endnotes.xml"/><Relationship Id="rId19" Type="http://schemas.openxmlformats.org/officeDocument/2006/relationships/hyperlink" Target="https://my.jhsph.edu/Offices/InformationTechnology/ComputerSupport/SharedFolders/jhsph-shares/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publichealth.jhu.edu/offices-and-services/institutional-review-board-irb/training" TargetMode="External"/><Relationship Id="rId27" Type="http://schemas.openxmlformats.org/officeDocument/2006/relationships/hyperlink" Target="https://www.jhsph.edu/offices-and-services/institutional-review-board/_pdfs-and-docs/pi-responsibilities-final-2010-01-21.pdf"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B2"/>
    <w:rsid w:val="00197DB2"/>
    <w:rsid w:val="004167C7"/>
    <w:rsid w:val="00686F3F"/>
    <w:rsid w:val="00A5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2.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E8988-960C-4E75-AC0C-F58DB1CF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11899</Words>
  <Characters>67827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2021-10-07T21:29:00Z</dcterms:created>
  <dcterms:modified xsi:type="dcterms:W3CDTF">2021-10-07T21:29:00Z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